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AFE98" w14:textId="6E6BCD23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Na temelju članka 14. stavak 1. Zakona o proračunu („Narodne novine“ broj 87/08, 136/12 i 15/15) i članka 31. Statuta Općine Šodolovci („Službeni glasnik Općine Šodolovci“ broj 3/09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), Općinsko vijeće Općine Šodolovci na </w:t>
      </w:r>
      <w:r w:rsidR="008B3EBE">
        <w:rPr>
          <w:rFonts w:ascii="Times New Roman" w:eastAsia="Calibri" w:hAnsi="Times New Roman" w:cs="Times New Roman"/>
          <w:sz w:val="24"/>
          <w:szCs w:val="24"/>
        </w:rPr>
        <w:t>2</w:t>
      </w:r>
      <w:r w:rsidR="004A546E">
        <w:rPr>
          <w:rFonts w:ascii="Times New Roman" w:eastAsia="Calibri" w:hAnsi="Times New Roman" w:cs="Times New Roman"/>
          <w:sz w:val="24"/>
          <w:szCs w:val="24"/>
        </w:rPr>
        <w:t>8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4A546E">
        <w:rPr>
          <w:rFonts w:ascii="Times New Roman" w:eastAsia="Calibri" w:hAnsi="Times New Roman" w:cs="Times New Roman"/>
          <w:sz w:val="24"/>
          <w:szCs w:val="24"/>
        </w:rPr>
        <w:t>07</w:t>
      </w:r>
      <w:r w:rsidRPr="00411A76">
        <w:rPr>
          <w:rFonts w:ascii="Times New Roman" w:eastAsia="Calibri" w:hAnsi="Times New Roman" w:cs="Times New Roman"/>
          <w:sz w:val="24"/>
          <w:szCs w:val="24"/>
        </w:rPr>
        <w:t>. prosinca 20</w:t>
      </w:r>
      <w:r w:rsidR="004A546E">
        <w:rPr>
          <w:rFonts w:ascii="Times New Roman" w:eastAsia="Calibri" w:hAnsi="Times New Roman" w:cs="Times New Roman"/>
          <w:sz w:val="24"/>
          <w:szCs w:val="24"/>
        </w:rPr>
        <w:t>20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 donijelo je</w:t>
      </w:r>
    </w:p>
    <w:p w14:paraId="3D95E423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5DF82B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O D L U K U</w:t>
      </w:r>
    </w:p>
    <w:p w14:paraId="42066136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o izvršenju Proračuna Općine Šodolovci</w:t>
      </w:r>
    </w:p>
    <w:p w14:paraId="09CC3B6C" w14:textId="5E303016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za 20</w:t>
      </w:r>
      <w:r w:rsidR="008B3EB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A546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411A76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7B1059C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51F6D3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0C76BF1E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8E99CC" w14:textId="172B6AF3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Ovom se Odlukom uređuje način izvršenja Proračuna Općine Šodolovci za 20</w:t>
      </w:r>
      <w:r w:rsidR="008B3EBE">
        <w:rPr>
          <w:rFonts w:ascii="Times New Roman" w:eastAsia="Calibri" w:hAnsi="Times New Roman" w:cs="Times New Roman"/>
          <w:sz w:val="24"/>
          <w:szCs w:val="24"/>
        </w:rPr>
        <w:t>20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 (u daljem tekstu: Proračun), upravljanje financijskom i nefinancijskom imovinom, ovlasti općinskog načelnika, prava i obveze korisnika Proračunskih sredstava te druga pitanja u izvršavanju Proračuna.</w:t>
      </w:r>
    </w:p>
    <w:p w14:paraId="73AEEDE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A1CC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685FA270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E784D8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 se sastoji iz Općeg i Posebnog dijela, te Plana razvojnih programa.</w:t>
      </w:r>
    </w:p>
    <w:p w14:paraId="47E02A5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 dio Proračuna sastoji se od Računa prihoda i rashoda i Računa financiranja.</w:t>
      </w:r>
    </w:p>
    <w:p w14:paraId="7DC5E7BB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Račun prihoda i rashoda proračuna sastoji se od prihoda i rashoda prema ekonomskoj klasifikaciji.</w:t>
      </w:r>
    </w:p>
    <w:p w14:paraId="2C57E8BF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Posebni dio Proračuna sastoji se od plana rashoda i izdataka proračunskih korisnika iskazanih po vrstama, raspoređenih u programe za tekuću proračunsku godinu.</w:t>
      </w:r>
    </w:p>
    <w:p w14:paraId="4388ABF2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Plan razvojnih programa sadrži ciljeve i prioritete razvoja Općine povezane s programskom i organizacijskom klasifikacijom proračuna.</w:t>
      </w:r>
    </w:p>
    <w:p w14:paraId="6D394478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Prihodi, primici, rashodi i izdaci proračuna iskazani su prema proračunskim klasifikacijama (organizacijska, ekonomska, funkcijska, programska klasifikacija i izvori financiranja).</w:t>
      </w:r>
    </w:p>
    <w:p w14:paraId="49049C77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F35839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228C5821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1DA028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Sredstva proračuna osiguravaju se proračunskim korisnicima (u daljem tekstu: korisnici) koji su u Posebnom dijelu Proračuna određeni za nositelja sredstava po utvrđenim stavkama.</w:t>
      </w:r>
    </w:p>
    <w:p w14:paraId="74962B3E" w14:textId="339C5595" w:rsidR="009E18F1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Korisnici smiju Proračunska sredstva koristiti samo za namjene koje su određene Proračunom i to do visine utvrđene u njegovom Posebnom dijelu.</w:t>
      </w:r>
    </w:p>
    <w:p w14:paraId="0F8C083A" w14:textId="3B62B795" w:rsidR="00AF61F4" w:rsidRPr="00411A76" w:rsidRDefault="00AF61F4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Vijeće srpske nacionalne manjine Općine Šodolovci je proračunski korisnik Općine Šodolovci, a isti će od 01.01.2020.g. koristiti žiro račun Općine Šodolovci IBAN HR53 2500 0091 8614 0000 6 za svoje redovno poslovanje. </w:t>
      </w:r>
    </w:p>
    <w:p w14:paraId="4005EE85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9C4E0A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4.</w:t>
      </w:r>
    </w:p>
    <w:p w14:paraId="0D6ABACA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8C931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Proračunska sredstva koristit će se samo za namjene utvrđene u Proračunu.</w:t>
      </w:r>
    </w:p>
    <w:p w14:paraId="75F41D5D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 se izvršava u skladu s njegovim likvidnim mogućnostima. Iznimno zbog neusklađenog priliva sredstava u Proračun, Općinsko vijeće može izmijeniti dinamiku doznake sredstava pojedinim korisnicima.</w:t>
      </w:r>
    </w:p>
    <w:p w14:paraId="31177F95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864846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5.</w:t>
      </w:r>
    </w:p>
    <w:p w14:paraId="538F9AC4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313C6D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lastRenderedPageBreak/>
        <w:tab/>
        <w:t>Ako se tijekom godine, na temelju propisa povećava djelokrug ili nadležnost korisnika što zahtijeva i povećana sredstva, sredstva se osiguravaju iz Tekuće proračunske rezerve.</w:t>
      </w:r>
    </w:p>
    <w:p w14:paraId="46E7F8AA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Ako se tijekom godine, na temelju propisa, smanji djelokrug ili nadležnost korisnika, neutrošena sredstva prenose se u Tekuću proračunsku rezervu.</w:t>
      </w:r>
    </w:p>
    <w:p w14:paraId="4C3B6E25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FD59DC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6.</w:t>
      </w:r>
    </w:p>
    <w:p w14:paraId="786D0D48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A3847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Svi korisnici Proračunskih sredstava moraju sredstva koristiti za utvrđene namjene štedljivo i u skladu sa propisima o korištenju odnosno raspolaganju tim sredstvima.</w:t>
      </w:r>
    </w:p>
    <w:p w14:paraId="3E1E504E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Nadzor nad korištenjem Proračunskih sredstava obavlja se u skladu sa zakonom o proračunu.</w:t>
      </w:r>
    </w:p>
    <w:p w14:paraId="2BFB9036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D83338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7.</w:t>
      </w:r>
    </w:p>
    <w:p w14:paraId="3D31CFC0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FBBB83" w14:textId="3DF37B72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 se izvršava od 01. siječnja do 31. prosinca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700118">
        <w:rPr>
          <w:rFonts w:ascii="Times New Roman" w:eastAsia="Calibri" w:hAnsi="Times New Roman" w:cs="Times New Roman"/>
          <w:sz w:val="24"/>
          <w:szCs w:val="24"/>
        </w:rPr>
        <w:t>1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godine. Samo naplaćeni prihodi u kalendarskoj godini priznaju se kao prihodi Proračuna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700118">
        <w:rPr>
          <w:rFonts w:ascii="Times New Roman" w:eastAsia="Calibri" w:hAnsi="Times New Roman" w:cs="Times New Roman"/>
          <w:sz w:val="24"/>
          <w:szCs w:val="24"/>
        </w:rPr>
        <w:t>1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6655645C" w14:textId="58928A9C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Sredstva preostala u proračunu iz prethodne godine koristiti će se za namjene utvrđene u Proračunu Općine Šodolovci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700118">
        <w:rPr>
          <w:rFonts w:ascii="Times New Roman" w:eastAsia="Calibri" w:hAnsi="Times New Roman" w:cs="Times New Roman"/>
          <w:sz w:val="24"/>
          <w:szCs w:val="24"/>
        </w:rPr>
        <w:t>1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godinu. Rashodi za koje nastane obveza u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700118">
        <w:rPr>
          <w:rFonts w:ascii="Times New Roman" w:eastAsia="Calibri" w:hAnsi="Times New Roman" w:cs="Times New Roman"/>
          <w:sz w:val="24"/>
          <w:szCs w:val="24"/>
        </w:rPr>
        <w:t>1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4F7FA1B" w14:textId="0B98FF73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godini rashodi su Proračuna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700118">
        <w:rPr>
          <w:rFonts w:ascii="Times New Roman" w:eastAsia="Calibri" w:hAnsi="Times New Roman" w:cs="Times New Roman"/>
          <w:sz w:val="24"/>
          <w:szCs w:val="24"/>
        </w:rPr>
        <w:t>1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 neovisno o plaćanju.</w:t>
      </w:r>
    </w:p>
    <w:p w14:paraId="6842D218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2DF53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8.</w:t>
      </w:r>
    </w:p>
    <w:p w14:paraId="45BE4F9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01196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Općina Šodolovci izdvaja u sredstva Proračunske zalihe 30.000,00 kuna. Sredstva Proračunske zalihe koriste se za hitne i druge namjene utvrđene člankom 56. Zakona o proračunu.</w:t>
      </w:r>
    </w:p>
    <w:p w14:paraId="1239007B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D423A9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9.</w:t>
      </w:r>
    </w:p>
    <w:p w14:paraId="7868CDF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B2E9E0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 xml:space="preserve">O korištenju sredstava Proračunske zalihe odlučuje Općinski načelnik. </w:t>
      </w:r>
    </w:p>
    <w:p w14:paraId="55C33288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Načelnik može raspolagati sredstvima Proračunske zalihe do iznosa od 5.000,00 kuna po pojedinom zahtjevu.</w:t>
      </w:r>
    </w:p>
    <w:p w14:paraId="3C76646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</w:p>
    <w:p w14:paraId="24F754F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84018B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10.</w:t>
      </w:r>
    </w:p>
    <w:p w14:paraId="463BFB9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300F14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Sredstva raspoređena u Proračunu za izdatke na pozicijama transferi udruženjima građana i neprofitnim organizacijama te nabava kapitalnih sredstava doznačit će se na temelju Odluke načelnika.</w:t>
      </w:r>
    </w:p>
    <w:p w14:paraId="7CBF145B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7CD9B3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11.</w:t>
      </w:r>
    </w:p>
    <w:p w14:paraId="55B87E92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DC7903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Odluku o zaduživanju Općine i davanju jamstva donosi Općinsko vijeće sukladno Zakonu.</w:t>
      </w:r>
    </w:p>
    <w:p w14:paraId="221B36FE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 xml:space="preserve">Općina se može kratkoročno zaduživati u skladu s Zakonom i proračunu. </w:t>
      </w:r>
    </w:p>
    <w:p w14:paraId="09196C05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51A2B5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12.</w:t>
      </w:r>
    </w:p>
    <w:p w14:paraId="69DBB7A4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21102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Ako tijekom godine dođe do znatnije neusklađenosti ostvarivanja planiranih prihoda i primitaka, te rashoda i izdataka proračuna, Općinski načelnik predložit će izmjene i dopune proračuna radi uravnoteženja, odnosno preraspodjele sredstava.</w:t>
      </w:r>
    </w:p>
    <w:p w14:paraId="68749E00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DE41F0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946928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13.</w:t>
      </w:r>
    </w:p>
    <w:p w14:paraId="3992FC9F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2387A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Proračunska sredstva ne mogu se preraspodijeliti, osim pod uvjetima i na način kako je utvrđeno Zakonom o proračunu i ovom Odlukom.</w:t>
      </w:r>
    </w:p>
    <w:p w14:paraId="256D7C8F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Općinski načelnik može odobriti preraspodjelu sredstava unutar proračunskih stavaka najviše do 5% rashoda i izdataka planiranih na proračunskoj stavci donesenoj od strane Općinskog vijeća Općine Šodolovci koja se umanjuje.</w:t>
      </w:r>
    </w:p>
    <w:p w14:paraId="7450446D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Općinski načelnik izvješćuje Općinsko vijeće o odobrenoj preraspodjeli sredstava uz polugodišnji i godišnji izvještaj o izvršenju Proračuna.</w:t>
      </w:r>
    </w:p>
    <w:p w14:paraId="465DF89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5ACF7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14.</w:t>
      </w:r>
    </w:p>
    <w:p w14:paraId="409954D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58EFD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Za izvršenje ovog Proračuna u cijelosti je odgovoran Načelnik.</w:t>
      </w:r>
    </w:p>
    <w:p w14:paraId="4FF69B65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Naredbodavatelj za izvršenje Proračuna u cijelosti je Načelnik.</w:t>
      </w:r>
    </w:p>
    <w:p w14:paraId="7E9FCFAB" w14:textId="77777777" w:rsidR="00BE514C" w:rsidRPr="00BE514C" w:rsidRDefault="009E18F1" w:rsidP="00B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="00BE514C" w:rsidRPr="00BE514C">
        <w:rPr>
          <w:rFonts w:ascii="Times New Roman" w:hAnsi="Times New Roman" w:cs="Times New Roman"/>
          <w:spacing w:val="-2"/>
          <w:sz w:val="24"/>
          <w:szCs w:val="24"/>
        </w:rPr>
        <w:t>Općinski načelnik može u cijelosti ili djelomično otpisati dug prema Općini ako bi troškovi</w:t>
      </w:r>
      <w:r w:rsidR="00BE514C" w:rsidRPr="00BE514C">
        <w:rPr>
          <w:rFonts w:ascii="Times New Roman" w:hAnsi="Times New Roman" w:cs="Times New Roman"/>
          <w:sz w:val="24"/>
          <w:szCs w:val="24"/>
        </w:rPr>
        <w:t xml:space="preserve"> postupka naplate potraživanja bili u nerazmjeru s visinom potraživanja odnosno zbog drugog opravdanog razloga.</w:t>
      </w:r>
    </w:p>
    <w:p w14:paraId="53EEDFD6" w14:textId="77777777" w:rsidR="00BE514C" w:rsidRPr="00BE514C" w:rsidRDefault="00BE514C" w:rsidP="00BE5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14C">
        <w:rPr>
          <w:rFonts w:ascii="Times New Roman" w:hAnsi="Times New Roman" w:cs="Times New Roman"/>
          <w:sz w:val="24"/>
          <w:szCs w:val="24"/>
        </w:rPr>
        <w:t>Odgoda plaćanja i obročna otplata (reprogram) duga Općini te otpis i djelomičan otpis potraživanja Općine, određuje se i provodi na način i po uvjetima sukladno važećim propisima.</w:t>
      </w:r>
    </w:p>
    <w:p w14:paraId="0E0DF361" w14:textId="77777777" w:rsidR="00BE514C" w:rsidRPr="00BE514C" w:rsidRDefault="00BE514C" w:rsidP="00BE5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14C">
        <w:rPr>
          <w:rFonts w:ascii="Times New Roman" w:hAnsi="Times New Roman" w:cs="Times New Roman"/>
          <w:sz w:val="24"/>
          <w:szCs w:val="24"/>
        </w:rPr>
        <w:t>Općinski načelnik odlučuje o otpisu nenaplativih i spornih potraživanja temeljem izvještaja Povjerenstva za popis potraživanja, a sukladno Pravilniku o proračunskom računovodstvu i Računskom planu (Narodne novine broj 124/14, 115/15, 87/16 i 3/18).</w:t>
      </w:r>
    </w:p>
    <w:p w14:paraId="1A3B2CA6" w14:textId="483E9386" w:rsidR="009E18F1" w:rsidRPr="00BE514C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CA210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15.</w:t>
      </w:r>
    </w:p>
    <w:p w14:paraId="2A521DC6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4D066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Svaki rashod i izdatak iz Proračuna mora se temeljiti na vjerodostojnoj knjigovodstvenoj ispravi kojom se dokazuje obveza plaćanja. Zahtjev za isplatu sredstava za nabavu roba, obavljanje usluga i ustupanje radova mora se temeljiti na propisima o javnoj nabavi.</w:t>
      </w:r>
    </w:p>
    <w:p w14:paraId="44FA7BB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6942CB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16.</w:t>
      </w:r>
    </w:p>
    <w:p w14:paraId="593456BD" w14:textId="3A0F740A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Ova odluka objavit će se u „Službenom glasniku Općine Šodolovci“, a primjenjuje se od 01. siječnja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700118">
        <w:rPr>
          <w:rFonts w:ascii="Times New Roman" w:eastAsia="Calibri" w:hAnsi="Times New Roman" w:cs="Times New Roman"/>
          <w:sz w:val="24"/>
          <w:szCs w:val="24"/>
        </w:rPr>
        <w:t>1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47F06734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B407DC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9E782F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758741" w14:textId="72205C3C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Klasa: 400-06/</w:t>
      </w:r>
      <w:r w:rsidR="00700118">
        <w:rPr>
          <w:rFonts w:ascii="Times New Roman" w:eastAsia="Calibri" w:hAnsi="Times New Roman" w:cs="Times New Roman"/>
          <w:sz w:val="24"/>
          <w:szCs w:val="24"/>
        </w:rPr>
        <w:t>20</w:t>
      </w:r>
      <w:r w:rsidR="00AF61F4">
        <w:rPr>
          <w:rFonts w:ascii="Times New Roman" w:eastAsia="Calibri" w:hAnsi="Times New Roman" w:cs="Times New Roman"/>
          <w:sz w:val="24"/>
          <w:szCs w:val="24"/>
        </w:rPr>
        <w:t>-</w:t>
      </w:r>
      <w:r w:rsidR="00D56303">
        <w:rPr>
          <w:rFonts w:ascii="Times New Roman" w:eastAsia="Calibri" w:hAnsi="Times New Roman" w:cs="Times New Roman"/>
          <w:sz w:val="24"/>
          <w:szCs w:val="24"/>
        </w:rPr>
        <w:t>01/1</w:t>
      </w:r>
    </w:p>
    <w:p w14:paraId="02D29CD6" w14:textId="3180E988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Urbroj: 2121/11-</w:t>
      </w:r>
      <w:r w:rsidR="00700118">
        <w:rPr>
          <w:rFonts w:ascii="Times New Roman" w:eastAsia="Calibri" w:hAnsi="Times New Roman" w:cs="Times New Roman"/>
          <w:sz w:val="24"/>
          <w:szCs w:val="24"/>
        </w:rPr>
        <w:t>01-20</w:t>
      </w:r>
      <w:r w:rsidR="00AF61F4">
        <w:rPr>
          <w:rFonts w:ascii="Times New Roman" w:eastAsia="Calibri" w:hAnsi="Times New Roman" w:cs="Times New Roman"/>
          <w:sz w:val="24"/>
          <w:szCs w:val="24"/>
        </w:rPr>
        <w:t>-</w:t>
      </w:r>
      <w:r w:rsidR="00D56303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4D77783" w14:textId="188DA8AA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700118">
        <w:rPr>
          <w:rFonts w:ascii="Times New Roman" w:eastAsia="Calibri" w:hAnsi="Times New Roman" w:cs="Times New Roman"/>
          <w:sz w:val="24"/>
          <w:szCs w:val="24"/>
        </w:rPr>
        <w:t>07</w:t>
      </w:r>
      <w:r w:rsidRPr="00411A76">
        <w:rPr>
          <w:rFonts w:ascii="Times New Roman" w:eastAsia="Calibri" w:hAnsi="Times New Roman" w:cs="Times New Roman"/>
          <w:sz w:val="24"/>
          <w:szCs w:val="24"/>
        </w:rPr>
        <w:t>. prosinca 20</w:t>
      </w:r>
      <w:r w:rsidR="00700118">
        <w:rPr>
          <w:rFonts w:ascii="Times New Roman" w:eastAsia="Calibri" w:hAnsi="Times New Roman" w:cs="Times New Roman"/>
          <w:sz w:val="24"/>
          <w:szCs w:val="24"/>
        </w:rPr>
        <w:t>20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PREDSJEDNIK OPĆINSKOG VIJEĆA</w:t>
      </w:r>
    </w:p>
    <w:p w14:paraId="3910B828" w14:textId="1E07B0A6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01CDA">
        <w:rPr>
          <w:rFonts w:ascii="Times New Roman" w:eastAsia="Calibri" w:hAnsi="Times New Roman" w:cs="Times New Roman"/>
          <w:sz w:val="24"/>
          <w:szCs w:val="24"/>
        </w:rPr>
        <w:t>Lazar Telenta</w:t>
      </w:r>
    </w:p>
    <w:p w14:paraId="51759FA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7AFB06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</w:p>
    <w:p w14:paraId="10FCECD9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17083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A3E9F8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53B8D2" w14:textId="77777777" w:rsidR="009E18F1" w:rsidRDefault="009E18F1" w:rsidP="009E18F1"/>
    <w:p w14:paraId="5DE60F14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F1"/>
    <w:rsid w:val="001D01CC"/>
    <w:rsid w:val="004A546E"/>
    <w:rsid w:val="004E3BD9"/>
    <w:rsid w:val="005C21C2"/>
    <w:rsid w:val="00700118"/>
    <w:rsid w:val="008B3EBE"/>
    <w:rsid w:val="009C5FB4"/>
    <w:rsid w:val="009E18F1"/>
    <w:rsid w:val="00AF61F4"/>
    <w:rsid w:val="00BE514C"/>
    <w:rsid w:val="00CB458E"/>
    <w:rsid w:val="00D01CDA"/>
    <w:rsid w:val="00D56303"/>
    <w:rsid w:val="00F7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AB42"/>
  <w15:chartTrackingRefBased/>
  <w15:docId w15:val="{BF2AE2D4-AB71-4CD9-8F45-DCB9FC4A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8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9</cp:revision>
  <cp:lastPrinted>2019-12-31T12:11:00Z</cp:lastPrinted>
  <dcterms:created xsi:type="dcterms:W3CDTF">2019-01-02T12:34:00Z</dcterms:created>
  <dcterms:modified xsi:type="dcterms:W3CDTF">2020-12-16T11:20:00Z</dcterms:modified>
</cp:coreProperties>
</file>