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FE98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11A76">
        <w:rPr>
          <w:rFonts w:ascii="Times New Roman" w:eastAsia="Calibri" w:hAnsi="Times New Roman" w:cs="Times New Roman"/>
          <w:sz w:val="24"/>
          <w:szCs w:val="24"/>
        </w:rPr>
        <w:t>Na temelju članka 14. stavak 1. Zakona o proračunu („Narodne novine“ broj 87/08, 136/12 i 15/15) i članka 31. Statuta Općine Šodolovci („Službeni glasnik Općine Šodolovci“ broj 3/09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2/13</w:t>
      </w:r>
      <w:r>
        <w:rPr>
          <w:rFonts w:ascii="Times New Roman" w:eastAsia="Calibri" w:hAnsi="Times New Roman" w:cs="Times New Roman"/>
          <w:sz w:val="24"/>
          <w:szCs w:val="24"/>
        </w:rPr>
        <w:t>, 7/16 i 4/18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), Općinsko vijeće Općine Šodolovci na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411A76">
        <w:rPr>
          <w:rFonts w:ascii="Times New Roman" w:eastAsia="Calibri" w:hAnsi="Times New Roman" w:cs="Times New Roman"/>
          <w:sz w:val="24"/>
          <w:szCs w:val="24"/>
        </w:rPr>
        <w:t>. sjednici održanoj 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11A76">
        <w:rPr>
          <w:rFonts w:ascii="Times New Roman" w:eastAsia="Calibri" w:hAnsi="Times New Roman" w:cs="Times New Roman"/>
          <w:sz w:val="24"/>
          <w:szCs w:val="24"/>
        </w:rPr>
        <w:t>. prosinca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godine donijelo je</w:t>
      </w:r>
    </w:p>
    <w:p w14:paraId="3D95E423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5DF82B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A76">
        <w:rPr>
          <w:rFonts w:ascii="Times New Roman" w:eastAsia="Calibri" w:hAnsi="Times New Roman" w:cs="Times New Roman"/>
          <w:b/>
          <w:sz w:val="24"/>
          <w:szCs w:val="24"/>
        </w:rPr>
        <w:t>O D L U K U</w:t>
      </w:r>
    </w:p>
    <w:p w14:paraId="42066136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A76">
        <w:rPr>
          <w:rFonts w:ascii="Times New Roman" w:eastAsia="Calibri" w:hAnsi="Times New Roman" w:cs="Times New Roman"/>
          <w:b/>
          <w:sz w:val="24"/>
          <w:szCs w:val="24"/>
        </w:rPr>
        <w:t>o izvršenju Proračuna Općine Šodolovci</w:t>
      </w:r>
    </w:p>
    <w:p w14:paraId="09CC3B6C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A76">
        <w:rPr>
          <w:rFonts w:ascii="Times New Roman" w:eastAsia="Calibri" w:hAnsi="Times New Roman" w:cs="Times New Roman"/>
          <w:b/>
          <w:sz w:val="24"/>
          <w:szCs w:val="24"/>
        </w:rPr>
        <w:t>za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11A76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7B1059CD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51F6D3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0C76BF1E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8E99C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Ovom se Odlukom uređuje način izvršenja Proračuna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godinu (u daljem tekstu: Proračun), upravljanje financijskom i nefinancijskom imovinom, ovlasti općinskog načelnika, prava i obveze korisnika Proračunskih sredstava te druga pitanja u izvršavanju Proračuna.</w:t>
      </w:r>
    </w:p>
    <w:p w14:paraId="73AEEDEA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EA1CCD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685FA270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E784D8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 se sastoji iz Općeg i Posebnog dijela, te Plana razvojnih programa.</w:t>
      </w:r>
    </w:p>
    <w:p w14:paraId="47E02A5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Opći dio Proračuna sastoji se od Računa prihoda i rashoda i Računa financiranja.</w:t>
      </w:r>
    </w:p>
    <w:p w14:paraId="7DC5E7BB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Račun prihoda i rashoda proračuna sastoji se od prihoda i rashoda prema ekonomskoj klasifikaciji.</w:t>
      </w:r>
    </w:p>
    <w:p w14:paraId="2C57E8BF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Posebni dio Proračuna sastoji se od plana rashoda i izdataka proračunskih korisnika iskazanih po vrstama, raspoređenih u programe za tekuću proračunsku godinu.</w:t>
      </w:r>
    </w:p>
    <w:p w14:paraId="4388ABF2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Plan razvojnih programa sadrži ciljeve i prioritete razvoja Općine povezane s programskom i organizacijskom klasifikacijom proračuna.</w:t>
      </w:r>
    </w:p>
    <w:p w14:paraId="6D394478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Prihodi, primici, rashodi i izdaci proračuna iskazani su prema proračunskim klasifikacijama (organizacijska, ekonomska, funkcijska, programska klasifikacija i izvori financiranja).</w:t>
      </w:r>
    </w:p>
    <w:p w14:paraId="49049C77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F35839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3.</w:t>
      </w:r>
    </w:p>
    <w:p w14:paraId="228C5821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1DA028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Sredstva proračuna osiguravaju se proračunskim korisnicima (u daljem tekstu: korisnici) koji su u Posebnom dijelu Proračuna određeni za nositelja sredstava po utvrđenim stavkama.</w:t>
      </w:r>
    </w:p>
    <w:p w14:paraId="74962B3E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Korisnici smiju Proračunska sredstva koristiti samo za namjene koje su određene Proračunom i to do visine utvrđene u njegovom Posebnom dijelu.</w:t>
      </w:r>
    </w:p>
    <w:p w14:paraId="4005EE85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9C4E0A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4.</w:t>
      </w:r>
    </w:p>
    <w:p w14:paraId="0D6ABACA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8C931A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Proračunska sredstva koristit će se samo za namjene utvrđene u Proračunu.</w:t>
      </w:r>
    </w:p>
    <w:p w14:paraId="75F41D5D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 se izvršava u skladu s njegovim likvidnim mogućnostima. Iznimno zbog neusklađenog priliva sredstava u Proračun, Općinsko vijeće može izmijeniti dinamiku doznake sredstava pojedinim korisnicima.</w:t>
      </w:r>
    </w:p>
    <w:p w14:paraId="31177F95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864846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5.</w:t>
      </w:r>
    </w:p>
    <w:p w14:paraId="538F9AC4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313C6D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Ako se tijekom godine, na temelju propisa povećava djelokrug ili nadležnost korisnika što zahtijeva i povećana sredstva, sredstva se osiguravaju iz Tekuće proračunske rezerve.</w:t>
      </w:r>
    </w:p>
    <w:p w14:paraId="46E7F8AA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lastRenderedPageBreak/>
        <w:tab/>
        <w:t>Ako se tijekom godine, na temelju propisa, smanji djelokrug ili nadležnost korisnika, neutrošena sredstva prenose se u Tekuću proračunsku rezervu.</w:t>
      </w:r>
    </w:p>
    <w:p w14:paraId="4C3B6E25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FD59DC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6.</w:t>
      </w:r>
    </w:p>
    <w:p w14:paraId="786D0D48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A3847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Svi korisnici Proračunskih sredstava moraju sredstva koristiti za utvrđene namjene štedljivo i u skladu sa propisima o korištenju odnosno raspolaganju tim sredstvima.</w:t>
      </w:r>
    </w:p>
    <w:p w14:paraId="3E1E504E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Nadzor nad korištenjem Proračunskih sredstava obavlja se u skladu sa zakonom o proračunu.</w:t>
      </w:r>
    </w:p>
    <w:p w14:paraId="2BFB9036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D83338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7.</w:t>
      </w:r>
    </w:p>
    <w:p w14:paraId="3D31CFC0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FBBB83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 se izvršava od 01. siječnja do 31. prosinca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godine. Samo naplaćeni prihodi u kalendarskoj godini priznaju se kao prihodi Proračuna za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godinu.</w:t>
      </w:r>
    </w:p>
    <w:p w14:paraId="6655645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Sredstva preostala u proračunu iz prethodne godine koristiti će se za namjene utvrđene u Proračunu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godinu. Rashodi za koje nastane obveza u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4F7FA1B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godini rashodi su Proračuna za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godinu neovisno o plaćanju.</w:t>
      </w:r>
    </w:p>
    <w:p w14:paraId="6842D218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82DF53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8.</w:t>
      </w:r>
    </w:p>
    <w:p w14:paraId="45BE4F9D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01196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Općina Šodolovci izdvaja u sredstva Proračunske zalihe 30.000,00 kuna. Sredstva Proračunske zalihe koriste se za hitne i druge namjene utvrđene člankom 56. Zakona o proračunu.</w:t>
      </w:r>
    </w:p>
    <w:p w14:paraId="1239007B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D423A9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9.</w:t>
      </w:r>
    </w:p>
    <w:p w14:paraId="7868CDFA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B2E9E0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 xml:space="preserve">O korištenju sredstava Proračunske zalihe odlučuje Općinski načelnik. </w:t>
      </w:r>
    </w:p>
    <w:p w14:paraId="55C33288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Načelnik može raspolagati sredstvima Proračunske zalihe do iznosa od 5.000,00 kuna po pojedinom zahtjevu.</w:t>
      </w:r>
    </w:p>
    <w:p w14:paraId="3C76646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</w:p>
    <w:p w14:paraId="24F754F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84018B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10.</w:t>
      </w:r>
    </w:p>
    <w:p w14:paraId="463BFB9A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300F14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Sredstva raspoređena u Proračunu za izdatke na pozicijama transferi udruženjima građana i neprofitnim organizacijama te nabava kapitalnih sredstava doznačit će se na temelju Odluke načelnika.</w:t>
      </w:r>
    </w:p>
    <w:p w14:paraId="7CBF145B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7CD9B3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11.</w:t>
      </w:r>
    </w:p>
    <w:p w14:paraId="55B87E92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DC7903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Odluku o zaduživanju Općine i davanju jamstva donosi Općinsko vijeće sukladno Zakonu.</w:t>
      </w:r>
    </w:p>
    <w:p w14:paraId="221B36FE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 xml:space="preserve">Općina se može kratkoročno zaduživati u skladu s Zakonom i proračunu. </w:t>
      </w:r>
    </w:p>
    <w:p w14:paraId="09196C05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1A2B5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12.</w:t>
      </w:r>
    </w:p>
    <w:p w14:paraId="69DBB7A4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211021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Ako tijekom godine dođe do znatnije neusklađenosti ostvarivanja planiranih prihoda i primitaka, te rashoda i izdataka proračuna, Općinski načelnik predložit će izmjene i dopune proračuna radi uravnoteženja, odnosno preraspodjele sredstava.</w:t>
      </w:r>
    </w:p>
    <w:p w14:paraId="68749E00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DE41F0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46928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lastRenderedPageBreak/>
        <w:t>Članak 13.</w:t>
      </w:r>
    </w:p>
    <w:p w14:paraId="3992FC9F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2387A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Proračunska sredstva ne mogu se preraspodijeliti, osim pod uvjetima i na način kako je utvrđeno Zakonom o proračunu i ovom Odlukom.</w:t>
      </w:r>
    </w:p>
    <w:p w14:paraId="256D7C8F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Općinski načelnik može odobriti preraspodjelu sredstava unutar proračunskih stavaka najviše do 5% rashoda i izdataka planiranih na proračunskoj stavci donesenoj od strane Općinskog vijeća Općine Šodolovci koja se umanjuje.</w:t>
      </w:r>
    </w:p>
    <w:p w14:paraId="7450446D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Općinski načelnik izvješćuje Općinsko vijeće o odobrenoj preraspodjeli sredstava uz polugodišnji i godišnji izvještaj o izvršenju Proračuna.</w:t>
      </w:r>
    </w:p>
    <w:p w14:paraId="465DF891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15ACF7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14.</w:t>
      </w:r>
    </w:p>
    <w:p w14:paraId="409954D9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58EFD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Za izvršenje ovog Proračuna u cijelosti je odgovoran Načelnik.</w:t>
      </w:r>
    </w:p>
    <w:p w14:paraId="4FF69B65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11A76">
        <w:rPr>
          <w:rFonts w:ascii="Times New Roman" w:eastAsia="Calibri" w:hAnsi="Times New Roman" w:cs="Times New Roman"/>
          <w:sz w:val="24"/>
          <w:szCs w:val="24"/>
        </w:rPr>
        <w:t>Naredbodavatelj</w:t>
      </w:r>
      <w:proofErr w:type="spellEnd"/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za izvršenje Proračuna u cijelosti je Načelnik.</w:t>
      </w:r>
    </w:p>
    <w:p w14:paraId="42B44EAD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Načelnik može za hitne potrebe raspolagati sredstvima proračuna bez odluke Općinskog vijeća do iznosa od 7.000,00 kuna. O korištenju sredstava dužan je izvijestiti Općinsko vijeće.</w:t>
      </w:r>
    </w:p>
    <w:p w14:paraId="1A3B2CA6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2CA210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15.</w:t>
      </w:r>
    </w:p>
    <w:p w14:paraId="2A521DC6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4D0661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Svaki rashod i izdatak iz Proračuna mora se temeljiti na vjerodostojnoj knjigovodstvenoj ispravi kojom se dokazuje obveza plaćanja. Zahtjev za isplatu sredstava za nabavu roba, obavljanje usluga i ustupanje radova mora se temeljiti na propisima o javnoj nabavi.</w:t>
      </w:r>
    </w:p>
    <w:p w14:paraId="44FA7BB9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6942CB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16.</w:t>
      </w:r>
    </w:p>
    <w:p w14:paraId="593456BD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Ova odluka objavit će se u „Službenom glasniku Općine Šodolovci“, a primjenjuje se od 01. siječnja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47F06734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B407DC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9E782F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758741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Klasa: 400-06/1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11A76">
        <w:rPr>
          <w:rFonts w:ascii="Times New Roman" w:eastAsia="Calibri" w:hAnsi="Times New Roman" w:cs="Times New Roman"/>
          <w:sz w:val="24"/>
          <w:szCs w:val="24"/>
        </w:rPr>
        <w:t>-01/</w:t>
      </w:r>
    </w:p>
    <w:p w14:paraId="02D29CD6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Urbroj: 2121/11-1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11A7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64D77783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411A76">
        <w:rPr>
          <w:rFonts w:ascii="Times New Roman" w:eastAsia="Calibri" w:hAnsi="Times New Roman" w:cs="Times New Roman"/>
          <w:sz w:val="24"/>
          <w:szCs w:val="24"/>
        </w:rPr>
        <w:t>. prosinca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.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     PREDSJEDNIK OPĆINSKOG VIJEĆA</w:t>
      </w:r>
    </w:p>
    <w:p w14:paraId="3910B828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Tomislav Starčević</w:t>
      </w:r>
    </w:p>
    <w:p w14:paraId="51759FA9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7AFB06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</w:p>
    <w:p w14:paraId="10FCECD9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17083D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A3E9F8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53B8D2" w14:textId="77777777" w:rsidR="009E18F1" w:rsidRDefault="009E18F1" w:rsidP="009E18F1"/>
    <w:p w14:paraId="5DE60F14" w14:textId="77777777"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F1"/>
    <w:rsid w:val="001D01CC"/>
    <w:rsid w:val="009C5FB4"/>
    <w:rsid w:val="009E18F1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AB42"/>
  <w15:chartTrackingRefBased/>
  <w15:docId w15:val="{BF2AE2D4-AB71-4CD9-8F45-DCB9FC4A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8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Darija Ćeran</cp:lastModifiedBy>
  <cp:revision>2</cp:revision>
  <dcterms:created xsi:type="dcterms:W3CDTF">2019-01-02T12:34:00Z</dcterms:created>
  <dcterms:modified xsi:type="dcterms:W3CDTF">2019-01-02T12:34:00Z</dcterms:modified>
</cp:coreProperties>
</file>