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B31" w:rsidRDefault="00721B31" w:rsidP="00721B31">
      <w:pPr>
        <w:ind w:firstLine="708"/>
        <w:jc w:val="both"/>
        <w:rPr>
          <w:rFonts w:ascii="Times New Roman" w:eastAsia="Calibri" w:hAnsi="Times New Roman" w:cs="Times New Roman"/>
          <w:sz w:val="24"/>
          <w:szCs w:val="24"/>
        </w:rPr>
      </w:pPr>
      <w:r w:rsidRPr="00721B31">
        <w:rPr>
          <w:rFonts w:ascii="Times New Roman" w:eastAsia="Calibri" w:hAnsi="Times New Roman" w:cs="Times New Roman"/>
          <w:sz w:val="24"/>
          <w:szCs w:val="24"/>
        </w:rPr>
        <w:t xml:space="preserve">Na temelju članka 29. stavka 2. Zakona o poljoprivrednom zemljištu (Narodne novine br. 20/18) te članka </w:t>
      </w:r>
      <w:r>
        <w:rPr>
          <w:rFonts w:ascii="Times New Roman" w:eastAsia="Calibri" w:hAnsi="Times New Roman" w:cs="Times New Roman"/>
          <w:sz w:val="24"/>
          <w:szCs w:val="24"/>
        </w:rPr>
        <w:t>31</w:t>
      </w:r>
      <w:r w:rsidRPr="00721B31">
        <w:rPr>
          <w:rFonts w:ascii="Times New Roman" w:eastAsia="Calibri" w:hAnsi="Times New Roman" w:cs="Times New Roman"/>
          <w:sz w:val="24"/>
          <w:szCs w:val="24"/>
        </w:rPr>
        <w:t xml:space="preserve">. Statuta Općine </w:t>
      </w:r>
      <w:r>
        <w:rPr>
          <w:rFonts w:ascii="Times New Roman" w:eastAsia="Calibri" w:hAnsi="Times New Roman" w:cs="Times New Roman"/>
          <w:sz w:val="24"/>
          <w:szCs w:val="24"/>
        </w:rPr>
        <w:t>Šodolovci</w:t>
      </w:r>
      <w:r w:rsidRPr="00721B31">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721B31">
        <w:rPr>
          <w:rFonts w:ascii="Times New Roman" w:eastAsia="Calibri" w:hAnsi="Times New Roman" w:cs="Times New Roman"/>
          <w:sz w:val="24"/>
          <w:szCs w:val="24"/>
        </w:rPr>
        <w:t xml:space="preserve">lužbeni glasnik </w:t>
      </w:r>
      <w:r>
        <w:rPr>
          <w:rFonts w:ascii="Times New Roman" w:eastAsia="Calibri" w:hAnsi="Times New Roman" w:cs="Times New Roman"/>
          <w:sz w:val="24"/>
          <w:szCs w:val="24"/>
        </w:rPr>
        <w:t xml:space="preserve">općine Šodolovci“ </w:t>
      </w:r>
      <w:r w:rsidRPr="00721B31">
        <w:rPr>
          <w:rFonts w:ascii="Times New Roman" w:eastAsia="Calibri" w:hAnsi="Times New Roman" w:cs="Times New Roman"/>
          <w:sz w:val="24"/>
          <w:szCs w:val="24"/>
        </w:rPr>
        <w:t xml:space="preserve">broj </w:t>
      </w:r>
      <w:r>
        <w:rPr>
          <w:rFonts w:ascii="Times New Roman" w:eastAsia="Calibri" w:hAnsi="Times New Roman" w:cs="Times New Roman"/>
          <w:sz w:val="24"/>
          <w:szCs w:val="24"/>
        </w:rPr>
        <w:t>3/09, 2/13, 7/16 i 4/18</w:t>
      </w:r>
      <w:r w:rsidRPr="00721B31">
        <w:rPr>
          <w:rFonts w:ascii="Times New Roman" w:eastAsia="Calibri" w:hAnsi="Times New Roman" w:cs="Times New Roman"/>
          <w:sz w:val="24"/>
          <w:szCs w:val="24"/>
        </w:rPr>
        <w:t xml:space="preserve">), Općinsko vijeće Općine </w:t>
      </w:r>
      <w:r>
        <w:rPr>
          <w:rFonts w:ascii="Times New Roman" w:eastAsia="Calibri" w:hAnsi="Times New Roman" w:cs="Times New Roman"/>
          <w:sz w:val="24"/>
          <w:szCs w:val="24"/>
        </w:rPr>
        <w:t>Šodolovci</w:t>
      </w:r>
      <w:r w:rsidR="00026164">
        <w:rPr>
          <w:rFonts w:ascii="Times New Roman" w:eastAsia="Calibri" w:hAnsi="Times New Roman" w:cs="Times New Roman"/>
          <w:sz w:val="24"/>
          <w:szCs w:val="24"/>
        </w:rPr>
        <w:t xml:space="preserve"> </w:t>
      </w:r>
      <w:r w:rsidRPr="00721B31">
        <w:rPr>
          <w:rFonts w:ascii="Times New Roman" w:eastAsia="Calibri" w:hAnsi="Times New Roman" w:cs="Times New Roman"/>
          <w:sz w:val="24"/>
          <w:szCs w:val="24"/>
        </w:rPr>
        <w:t xml:space="preserve">na </w:t>
      </w:r>
      <w:r>
        <w:rPr>
          <w:rFonts w:ascii="Times New Roman" w:eastAsia="Calibri" w:hAnsi="Times New Roman" w:cs="Times New Roman"/>
          <w:sz w:val="24"/>
          <w:szCs w:val="24"/>
        </w:rPr>
        <w:t>11.</w:t>
      </w:r>
      <w:r w:rsidRPr="00721B31">
        <w:rPr>
          <w:rFonts w:ascii="Times New Roman" w:eastAsia="Calibri" w:hAnsi="Times New Roman" w:cs="Times New Roman"/>
          <w:sz w:val="24"/>
          <w:szCs w:val="24"/>
        </w:rPr>
        <w:t xml:space="preserve"> sjednici održanoj </w:t>
      </w:r>
      <w:r>
        <w:rPr>
          <w:rFonts w:ascii="Times New Roman" w:eastAsia="Calibri" w:hAnsi="Times New Roman" w:cs="Times New Roman"/>
          <w:sz w:val="24"/>
          <w:szCs w:val="24"/>
        </w:rPr>
        <w:t>9</w:t>
      </w:r>
      <w:r w:rsidRPr="00721B31">
        <w:rPr>
          <w:rFonts w:ascii="Times New Roman" w:eastAsia="Calibri" w:hAnsi="Times New Roman" w:cs="Times New Roman"/>
          <w:sz w:val="24"/>
          <w:szCs w:val="24"/>
        </w:rPr>
        <w:t>. lipnja 2018. donosi</w:t>
      </w:r>
    </w:p>
    <w:p w:rsidR="00721B31" w:rsidRPr="00721B31" w:rsidRDefault="00721B31" w:rsidP="00721B31">
      <w:pPr>
        <w:ind w:firstLine="708"/>
        <w:jc w:val="both"/>
        <w:rPr>
          <w:rFonts w:ascii="Times New Roman" w:eastAsia="Calibri" w:hAnsi="Times New Roman" w:cs="Times New Roman"/>
          <w:sz w:val="24"/>
          <w:szCs w:val="24"/>
        </w:rPr>
      </w:pPr>
    </w:p>
    <w:p w:rsidR="00721B31" w:rsidRPr="00721B31" w:rsidRDefault="00721B31" w:rsidP="00721B31">
      <w:pPr>
        <w:jc w:val="center"/>
        <w:rPr>
          <w:rFonts w:ascii="Times New Roman" w:eastAsia="Calibri" w:hAnsi="Times New Roman" w:cs="Times New Roman"/>
          <w:b/>
          <w:sz w:val="24"/>
          <w:szCs w:val="24"/>
        </w:rPr>
      </w:pPr>
      <w:r w:rsidRPr="00721B31">
        <w:rPr>
          <w:rFonts w:ascii="Times New Roman" w:eastAsia="Calibri" w:hAnsi="Times New Roman" w:cs="Times New Roman"/>
          <w:b/>
          <w:sz w:val="24"/>
          <w:szCs w:val="24"/>
        </w:rPr>
        <w:t>ODLUKU</w:t>
      </w:r>
    </w:p>
    <w:p w:rsidR="00721B31" w:rsidRPr="00721B31" w:rsidRDefault="00721B31" w:rsidP="00721B31">
      <w:pPr>
        <w:jc w:val="center"/>
        <w:rPr>
          <w:rFonts w:ascii="Times New Roman" w:eastAsia="Calibri" w:hAnsi="Times New Roman" w:cs="Times New Roman"/>
          <w:b/>
          <w:sz w:val="24"/>
          <w:szCs w:val="24"/>
        </w:rPr>
      </w:pPr>
      <w:r w:rsidRPr="00721B31">
        <w:rPr>
          <w:rFonts w:ascii="Times New Roman" w:eastAsia="Calibri" w:hAnsi="Times New Roman" w:cs="Times New Roman"/>
          <w:b/>
          <w:sz w:val="24"/>
          <w:szCs w:val="24"/>
        </w:rPr>
        <w:t>o donošenju Programa raspolaganja</w:t>
      </w:r>
    </w:p>
    <w:p w:rsidR="00721B31" w:rsidRPr="00721B31" w:rsidRDefault="00721B31" w:rsidP="00721B31">
      <w:pPr>
        <w:jc w:val="center"/>
        <w:rPr>
          <w:rFonts w:ascii="Times New Roman" w:eastAsia="Calibri" w:hAnsi="Times New Roman" w:cs="Times New Roman"/>
          <w:b/>
          <w:sz w:val="24"/>
          <w:szCs w:val="24"/>
        </w:rPr>
      </w:pPr>
      <w:r w:rsidRPr="00721B31">
        <w:rPr>
          <w:rFonts w:ascii="Times New Roman" w:eastAsia="Calibri" w:hAnsi="Times New Roman" w:cs="Times New Roman"/>
          <w:b/>
          <w:sz w:val="24"/>
          <w:szCs w:val="24"/>
        </w:rPr>
        <w:t>poljoprivrednim zemljištem u vlasništvu Republike Hrvatske</w:t>
      </w:r>
    </w:p>
    <w:p w:rsidR="00721B31" w:rsidRPr="00721B31" w:rsidRDefault="00721B31" w:rsidP="00721B31">
      <w:pPr>
        <w:jc w:val="center"/>
        <w:rPr>
          <w:rFonts w:ascii="Times New Roman" w:eastAsia="Calibri" w:hAnsi="Times New Roman" w:cs="Times New Roman"/>
          <w:b/>
          <w:sz w:val="24"/>
          <w:szCs w:val="24"/>
        </w:rPr>
      </w:pPr>
      <w:r w:rsidRPr="00721B31">
        <w:rPr>
          <w:rFonts w:ascii="Times New Roman" w:eastAsia="Calibri" w:hAnsi="Times New Roman" w:cs="Times New Roman"/>
          <w:b/>
          <w:sz w:val="24"/>
          <w:szCs w:val="24"/>
        </w:rPr>
        <w:t xml:space="preserve">za </w:t>
      </w:r>
      <w:r>
        <w:rPr>
          <w:rFonts w:ascii="Times New Roman" w:eastAsia="Calibri" w:hAnsi="Times New Roman" w:cs="Times New Roman"/>
          <w:b/>
          <w:sz w:val="24"/>
          <w:szCs w:val="24"/>
        </w:rPr>
        <w:t>Općinu Šodolovci</w:t>
      </w:r>
    </w:p>
    <w:p w:rsidR="00721B31" w:rsidRPr="00721B31" w:rsidRDefault="00721B31" w:rsidP="00721B31">
      <w:pPr>
        <w:jc w:val="center"/>
        <w:rPr>
          <w:rFonts w:ascii="Times New Roman" w:eastAsia="Calibri" w:hAnsi="Times New Roman" w:cs="Times New Roman"/>
          <w:b/>
          <w:sz w:val="24"/>
          <w:szCs w:val="24"/>
        </w:rPr>
      </w:pPr>
    </w:p>
    <w:p w:rsidR="00721B31" w:rsidRPr="00721B31" w:rsidRDefault="00721B31" w:rsidP="00721B31">
      <w:pPr>
        <w:jc w:val="center"/>
        <w:rPr>
          <w:rFonts w:ascii="Times New Roman" w:eastAsia="Calibri" w:hAnsi="Times New Roman" w:cs="Times New Roman"/>
          <w:sz w:val="24"/>
          <w:szCs w:val="24"/>
        </w:rPr>
      </w:pPr>
      <w:r w:rsidRPr="00721B31">
        <w:rPr>
          <w:rFonts w:ascii="Times New Roman" w:eastAsia="Calibri" w:hAnsi="Times New Roman" w:cs="Times New Roman"/>
          <w:sz w:val="24"/>
          <w:szCs w:val="24"/>
        </w:rPr>
        <w:t>Članak 1.</w:t>
      </w:r>
    </w:p>
    <w:p w:rsidR="00EA6315" w:rsidRPr="00721B31" w:rsidRDefault="00721B31" w:rsidP="00721B31">
      <w:pPr>
        <w:jc w:val="both"/>
        <w:rPr>
          <w:rFonts w:ascii="Times New Roman" w:eastAsia="Calibri" w:hAnsi="Times New Roman" w:cs="Times New Roman"/>
          <w:sz w:val="24"/>
          <w:szCs w:val="24"/>
        </w:rPr>
      </w:pPr>
      <w:r w:rsidRPr="00721B31">
        <w:rPr>
          <w:rFonts w:ascii="Times New Roman" w:eastAsia="Calibri" w:hAnsi="Times New Roman" w:cs="Times New Roman"/>
          <w:sz w:val="24"/>
          <w:szCs w:val="24"/>
        </w:rPr>
        <w:tab/>
        <w:t xml:space="preserve">Donosi se Program raspolaganja poljoprivrednim zemljištem u vlasništvu Republike Hrvatske za </w:t>
      </w:r>
      <w:r>
        <w:rPr>
          <w:rFonts w:ascii="Times New Roman" w:eastAsia="Calibri" w:hAnsi="Times New Roman" w:cs="Times New Roman"/>
          <w:sz w:val="24"/>
          <w:szCs w:val="24"/>
        </w:rPr>
        <w:t>Općinu Šodolovci</w:t>
      </w:r>
      <w:r w:rsidR="007827F2">
        <w:rPr>
          <w:rFonts w:ascii="Times New Roman" w:eastAsia="Calibri" w:hAnsi="Times New Roman" w:cs="Times New Roman"/>
          <w:sz w:val="24"/>
          <w:szCs w:val="24"/>
        </w:rPr>
        <w:t>.</w:t>
      </w:r>
    </w:p>
    <w:p w:rsidR="00721B31" w:rsidRPr="00721B31" w:rsidRDefault="00721B31" w:rsidP="00721B31">
      <w:pPr>
        <w:jc w:val="center"/>
        <w:rPr>
          <w:rFonts w:ascii="Times New Roman" w:eastAsia="Calibri" w:hAnsi="Times New Roman" w:cs="Times New Roman"/>
          <w:sz w:val="24"/>
          <w:szCs w:val="24"/>
        </w:rPr>
      </w:pPr>
      <w:r w:rsidRPr="00721B31">
        <w:rPr>
          <w:rFonts w:ascii="Times New Roman" w:eastAsia="Calibri" w:hAnsi="Times New Roman" w:cs="Times New Roman"/>
          <w:sz w:val="24"/>
          <w:szCs w:val="24"/>
        </w:rPr>
        <w:t>Članak 2.</w:t>
      </w:r>
    </w:p>
    <w:p w:rsidR="00026164" w:rsidRPr="00721B31" w:rsidRDefault="00721B31" w:rsidP="007827F2">
      <w:pPr>
        <w:jc w:val="both"/>
        <w:rPr>
          <w:rFonts w:ascii="Times New Roman" w:eastAsia="Calibri" w:hAnsi="Times New Roman" w:cs="Times New Roman"/>
          <w:color w:val="FF0000"/>
          <w:sz w:val="24"/>
          <w:szCs w:val="24"/>
        </w:rPr>
      </w:pPr>
      <w:r w:rsidRPr="00721B31">
        <w:rPr>
          <w:rFonts w:ascii="Times New Roman" w:eastAsia="Calibri" w:hAnsi="Times New Roman" w:cs="Times New Roman"/>
          <w:sz w:val="24"/>
          <w:szCs w:val="24"/>
        </w:rPr>
        <w:tab/>
      </w:r>
      <w:r w:rsidR="007827F2">
        <w:rPr>
          <w:rFonts w:ascii="Times New Roman" w:eastAsia="Calibri" w:hAnsi="Times New Roman" w:cs="Times New Roman"/>
          <w:sz w:val="24"/>
          <w:szCs w:val="24"/>
        </w:rPr>
        <w:t>Program raspolaganja poljoprivrednim zemljištem u vlasništvu Republike Hrvatske za Općinu Šodolovci sastavni je dio ove Odluke.</w:t>
      </w:r>
    </w:p>
    <w:p w:rsidR="00026164" w:rsidRDefault="00026164" w:rsidP="00721B31">
      <w:pPr>
        <w:jc w:val="center"/>
        <w:rPr>
          <w:rFonts w:ascii="Times New Roman" w:eastAsia="Calibri" w:hAnsi="Times New Roman" w:cs="Times New Roman"/>
          <w:sz w:val="24"/>
          <w:szCs w:val="24"/>
        </w:rPr>
      </w:pPr>
    </w:p>
    <w:p w:rsidR="00721B31" w:rsidRPr="00721B31" w:rsidRDefault="00721B31" w:rsidP="00721B31">
      <w:pPr>
        <w:jc w:val="center"/>
        <w:rPr>
          <w:rFonts w:ascii="Times New Roman" w:eastAsia="Calibri" w:hAnsi="Times New Roman" w:cs="Times New Roman"/>
          <w:sz w:val="24"/>
          <w:szCs w:val="24"/>
        </w:rPr>
      </w:pPr>
      <w:r w:rsidRPr="00721B31">
        <w:rPr>
          <w:rFonts w:ascii="Times New Roman" w:eastAsia="Calibri" w:hAnsi="Times New Roman" w:cs="Times New Roman"/>
          <w:sz w:val="24"/>
          <w:szCs w:val="24"/>
        </w:rPr>
        <w:t xml:space="preserve">Članak </w:t>
      </w:r>
      <w:r w:rsidR="007827F2">
        <w:rPr>
          <w:rFonts w:ascii="Times New Roman" w:eastAsia="Calibri" w:hAnsi="Times New Roman" w:cs="Times New Roman"/>
          <w:sz w:val="24"/>
          <w:szCs w:val="24"/>
        </w:rPr>
        <w:t>3</w:t>
      </w:r>
      <w:r w:rsidRPr="00721B31">
        <w:rPr>
          <w:rFonts w:ascii="Times New Roman" w:eastAsia="Calibri" w:hAnsi="Times New Roman" w:cs="Times New Roman"/>
          <w:sz w:val="24"/>
          <w:szCs w:val="24"/>
        </w:rPr>
        <w:t>.</w:t>
      </w:r>
    </w:p>
    <w:p w:rsidR="00721B31" w:rsidRDefault="00721B31" w:rsidP="00026164">
      <w:pPr>
        <w:jc w:val="both"/>
        <w:rPr>
          <w:rFonts w:ascii="Times New Roman" w:eastAsia="Calibri" w:hAnsi="Times New Roman" w:cs="Times New Roman"/>
          <w:sz w:val="24"/>
          <w:szCs w:val="24"/>
        </w:rPr>
      </w:pPr>
      <w:r w:rsidRPr="00721B31">
        <w:rPr>
          <w:rFonts w:ascii="Times New Roman" w:eastAsia="Calibri" w:hAnsi="Times New Roman" w:cs="Times New Roman"/>
          <w:sz w:val="24"/>
          <w:szCs w:val="24"/>
        </w:rPr>
        <w:tab/>
        <w:t>Zadužuje se općinsk</w:t>
      </w:r>
      <w:r w:rsidR="00026164">
        <w:rPr>
          <w:rFonts w:ascii="Times New Roman" w:eastAsia="Calibri" w:hAnsi="Times New Roman" w:cs="Times New Roman"/>
          <w:sz w:val="24"/>
          <w:szCs w:val="24"/>
        </w:rPr>
        <w:t>i</w:t>
      </w:r>
      <w:r w:rsidRPr="00721B31">
        <w:rPr>
          <w:rFonts w:ascii="Times New Roman" w:eastAsia="Calibri" w:hAnsi="Times New Roman" w:cs="Times New Roman"/>
          <w:sz w:val="24"/>
          <w:szCs w:val="24"/>
        </w:rPr>
        <w:t xml:space="preserve"> načelni</w:t>
      </w:r>
      <w:r w:rsidR="00026164">
        <w:rPr>
          <w:rFonts w:ascii="Times New Roman" w:eastAsia="Calibri" w:hAnsi="Times New Roman" w:cs="Times New Roman"/>
          <w:sz w:val="24"/>
          <w:szCs w:val="24"/>
        </w:rPr>
        <w:t>k</w:t>
      </w:r>
      <w:r w:rsidRPr="00721B31">
        <w:rPr>
          <w:rFonts w:ascii="Times New Roman" w:eastAsia="Calibri" w:hAnsi="Times New Roman" w:cs="Times New Roman"/>
          <w:sz w:val="24"/>
          <w:szCs w:val="24"/>
        </w:rPr>
        <w:t xml:space="preserve"> da Program raspolaganja s popratnom dokumentacijom dostavi na prethodno mišljenje Osječko-baranjskoj županiji, Upravnom odjelu za poljoprivredu  i na suglasnost Ministarstvu poljoprivrede.</w:t>
      </w:r>
    </w:p>
    <w:p w:rsidR="00986DB7" w:rsidRPr="00721B31" w:rsidRDefault="00986DB7" w:rsidP="00026164">
      <w:pPr>
        <w:jc w:val="both"/>
        <w:rPr>
          <w:rFonts w:ascii="Times New Roman" w:eastAsia="Calibri" w:hAnsi="Times New Roman" w:cs="Times New Roman"/>
          <w:sz w:val="24"/>
          <w:szCs w:val="24"/>
        </w:rPr>
      </w:pPr>
    </w:p>
    <w:p w:rsidR="00721B31" w:rsidRPr="00721B31" w:rsidRDefault="00721B31" w:rsidP="00721B31">
      <w:pPr>
        <w:jc w:val="center"/>
        <w:rPr>
          <w:rFonts w:ascii="Times New Roman" w:eastAsia="Calibri" w:hAnsi="Times New Roman" w:cs="Times New Roman"/>
          <w:sz w:val="24"/>
          <w:szCs w:val="24"/>
        </w:rPr>
      </w:pPr>
      <w:r w:rsidRPr="00721B31">
        <w:rPr>
          <w:rFonts w:ascii="Times New Roman" w:eastAsia="Calibri" w:hAnsi="Times New Roman" w:cs="Times New Roman"/>
          <w:sz w:val="24"/>
          <w:szCs w:val="24"/>
        </w:rPr>
        <w:t xml:space="preserve">Članak </w:t>
      </w:r>
      <w:r w:rsidR="00D96901">
        <w:rPr>
          <w:rFonts w:ascii="Times New Roman" w:eastAsia="Calibri" w:hAnsi="Times New Roman" w:cs="Times New Roman"/>
          <w:sz w:val="24"/>
          <w:szCs w:val="24"/>
        </w:rPr>
        <w:t>4</w:t>
      </w:r>
      <w:r w:rsidRPr="00721B31">
        <w:rPr>
          <w:rFonts w:ascii="Times New Roman" w:eastAsia="Calibri" w:hAnsi="Times New Roman" w:cs="Times New Roman"/>
          <w:sz w:val="24"/>
          <w:szCs w:val="24"/>
        </w:rPr>
        <w:t>.</w:t>
      </w:r>
    </w:p>
    <w:p w:rsidR="00026164" w:rsidRPr="00721B31" w:rsidRDefault="00721B31" w:rsidP="00721B31">
      <w:pPr>
        <w:jc w:val="both"/>
        <w:rPr>
          <w:rFonts w:ascii="Times New Roman" w:eastAsia="Calibri" w:hAnsi="Times New Roman" w:cs="Times New Roman"/>
          <w:sz w:val="24"/>
          <w:szCs w:val="24"/>
        </w:rPr>
      </w:pPr>
      <w:r w:rsidRPr="00721B31">
        <w:rPr>
          <w:rFonts w:ascii="Times New Roman" w:eastAsia="Calibri" w:hAnsi="Times New Roman" w:cs="Times New Roman"/>
          <w:sz w:val="24"/>
          <w:szCs w:val="24"/>
        </w:rPr>
        <w:tab/>
      </w:r>
      <w:r w:rsidR="00026164">
        <w:rPr>
          <w:rFonts w:ascii="Times New Roman" w:eastAsia="Calibri" w:hAnsi="Times New Roman" w:cs="Times New Roman"/>
          <w:sz w:val="24"/>
          <w:szCs w:val="24"/>
        </w:rPr>
        <w:t>Ova Odluka objavit će se u „službenom glasniku Općine Šodolovci“ i stupa na snagu osmog dana od dana objave</w:t>
      </w:r>
      <w:r w:rsidR="006A4AEE">
        <w:rPr>
          <w:rFonts w:ascii="Times New Roman" w:eastAsia="Calibri" w:hAnsi="Times New Roman" w:cs="Times New Roman"/>
          <w:sz w:val="24"/>
          <w:szCs w:val="24"/>
        </w:rPr>
        <w:t xml:space="preserve"> </w:t>
      </w:r>
      <w:r w:rsidR="009865F0">
        <w:rPr>
          <w:rFonts w:ascii="Times New Roman" w:eastAsia="Calibri" w:hAnsi="Times New Roman" w:cs="Times New Roman"/>
          <w:sz w:val="24"/>
          <w:szCs w:val="24"/>
        </w:rPr>
        <w:t xml:space="preserve">a primjenjuje se po </w:t>
      </w:r>
      <w:r w:rsidR="00986DB7">
        <w:rPr>
          <w:rFonts w:ascii="Times New Roman" w:eastAsia="Calibri" w:hAnsi="Times New Roman" w:cs="Times New Roman"/>
          <w:sz w:val="24"/>
          <w:szCs w:val="24"/>
        </w:rPr>
        <w:t>pribavljanju suglasnosti Ministarstva poljoprivrede na doneseni Program raspolaganja.</w:t>
      </w:r>
    </w:p>
    <w:p w:rsidR="00721B31" w:rsidRPr="00721B31" w:rsidRDefault="00721B31" w:rsidP="00721B31">
      <w:pPr>
        <w:spacing w:after="0" w:line="240" w:lineRule="auto"/>
        <w:rPr>
          <w:rFonts w:ascii="Times New Roman" w:eastAsia="Calibri" w:hAnsi="Times New Roman" w:cs="Times New Roman"/>
          <w:sz w:val="24"/>
          <w:szCs w:val="24"/>
        </w:rPr>
      </w:pPr>
    </w:p>
    <w:p w:rsidR="00721B31" w:rsidRPr="00721B31" w:rsidRDefault="00721B31" w:rsidP="00721B31">
      <w:pPr>
        <w:spacing w:after="0" w:line="240" w:lineRule="auto"/>
        <w:rPr>
          <w:rFonts w:ascii="Times New Roman" w:eastAsia="Calibri" w:hAnsi="Times New Roman" w:cs="Times New Roman"/>
          <w:sz w:val="24"/>
          <w:szCs w:val="24"/>
        </w:rPr>
      </w:pPr>
      <w:r w:rsidRPr="00721B31">
        <w:rPr>
          <w:rFonts w:ascii="Times New Roman" w:eastAsia="Calibri" w:hAnsi="Times New Roman" w:cs="Times New Roman"/>
          <w:sz w:val="24"/>
          <w:szCs w:val="24"/>
        </w:rPr>
        <w:t>KLASA: 320-02/18-0</w:t>
      </w:r>
      <w:r>
        <w:rPr>
          <w:rFonts w:ascii="Times New Roman" w:eastAsia="Calibri" w:hAnsi="Times New Roman" w:cs="Times New Roman"/>
          <w:sz w:val="24"/>
          <w:szCs w:val="24"/>
        </w:rPr>
        <w:t>1</w:t>
      </w:r>
      <w:r w:rsidRPr="00721B31">
        <w:rPr>
          <w:rFonts w:ascii="Times New Roman" w:eastAsia="Calibri" w:hAnsi="Times New Roman" w:cs="Times New Roman"/>
          <w:sz w:val="24"/>
          <w:szCs w:val="24"/>
        </w:rPr>
        <w:t>/</w:t>
      </w:r>
      <w:r w:rsidR="002055AB">
        <w:rPr>
          <w:rFonts w:ascii="Times New Roman" w:eastAsia="Calibri" w:hAnsi="Times New Roman" w:cs="Times New Roman"/>
          <w:sz w:val="24"/>
          <w:szCs w:val="24"/>
        </w:rPr>
        <w:t>5</w:t>
      </w:r>
    </w:p>
    <w:p w:rsidR="00721B31" w:rsidRPr="00721B31" w:rsidRDefault="00721B31" w:rsidP="00721B31">
      <w:pPr>
        <w:spacing w:after="0" w:line="240" w:lineRule="auto"/>
        <w:rPr>
          <w:rFonts w:ascii="Times New Roman" w:eastAsia="Calibri" w:hAnsi="Times New Roman" w:cs="Times New Roman"/>
          <w:sz w:val="24"/>
          <w:szCs w:val="24"/>
        </w:rPr>
      </w:pPr>
      <w:r w:rsidRPr="00721B31">
        <w:rPr>
          <w:rFonts w:ascii="Times New Roman" w:eastAsia="Calibri" w:hAnsi="Times New Roman" w:cs="Times New Roman"/>
          <w:sz w:val="24"/>
          <w:szCs w:val="24"/>
        </w:rPr>
        <w:t xml:space="preserve">URBROJ: </w:t>
      </w:r>
      <w:r w:rsidR="002055AB">
        <w:rPr>
          <w:rFonts w:ascii="Times New Roman" w:eastAsia="Calibri" w:hAnsi="Times New Roman" w:cs="Times New Roman"/>
          <w:sz w:val="24"/>
          <w:szCs w:val="24"/>
        </w:rPr>
        <w:t>2121/11-18-1</w:t>
      </w:r>
    </w:p>
    <w:p w:rsidR="00721B31" w:rsidRDefault="00721B31" w:rsidP="00721B31">
      <w:pPr>
        <w:spacing w:after="0" w:line="240" w:lineRule="auto"/>
        <w:rPr>
          <w:rFonts w:ascii="Times New Roman" w:eastAsia="Calibri" w:hAnsi="Times New Roman" w:cs="Times New Roman"/>
          <w:sz w:val="24"/>
          <w:szCs w:val="24"/>
        </w:rPr>
      </w:pPr>
      <w:r w:rsidRPr="00721B31">
        <w:rPr>
          <w:rFonts w:ascii="Times New Roman" w:eastAsia="Calibri" w:hAnsi="Times New Roman" w:cs="Times New Roman"/>
          <w:sz w:val="24"/>
          <w:szCs w:val="24"/>
        </w:rPr>
        <w:t xml:space="preserve">Ernestinovo, </w:t>
      </w:r>
      <w:r w:rsidR="002055AB">
        <w:rPr>
          <w:rFonts w:ascii="Times New Roman" w:eastAsia="Calibri" w:hAnsi="Times New Roman" w:cs="Times New Roman"/>
          <w:sz w:val="24"/>
          <w:szCs w:val="24"/>
        </w:rPr>
        <w:t>9</w:t>
      </w:r>
      <w:r w:rsidRPr="00721B31">
        <w:rPr>
          <w:rFonts w:ascii="Times New Roman" w:eastAsia="Calibri" w:hAnsi="Times New Roman" w:cs="Times New Roman"/>
          <w:sz w:val="24"/>
          <w:szCs w:val="24"/>
        </w:rPr>
        <w:t>. lipnja 2018.</w:t>
      </w:r>
      <w:r w:rsidR="00026164">
        <w:rPr>
          <w:rFonts w:ascii="Times New Roman" w:eastAsia="Calibri" w:hAnsi="Times New Roman" w:cs="Times New Roman"/>
          <w:sz w:val="24"/>
          <w:szCs w:val="24"/>
        </w:rPr>
        <w:t xml:space="preserve">                               PREDSJEDNIK OPĆINSKOG VIJEĆA:</w:t>
      </w:r>
    </w:p>
    <w:p w:rsidR="00026164" w:rsidRPr="00721B31" w:rsidRDefault="00026164" w:rsidP="00721B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6DB7">
        <w:rPr>
          <w:rFonts w:ascii="Times New Roman" w:eastAsia="Calibri" w:hAnsi="Times New Roman" w:cs="Times New Roman"/>
          <w:sz w:val="24"/>
          <w:szCs w:val="24"/>
        </w:rPr>
        <w:t xml:space="preserve">   </w:t>
      </w:r>
      <w:r>
        <w:rPr>
          <w:rFonts w:ascii="Times New Roman" w:eastAsia="Calibri" w:hAnsi="Times New Roman" w:cs="Times New Roman"/>
          <w:sz w:val="24"/>
          <w:szCs w:val="24"/>
        </w:rPr>
        <w:t>Tomislav Starčević</w:t>
      </w:r>
    </w:p>
    <w:p w:rsidR="00721B31" w:rsidRPr="00721B31" w:rsidRDefault="00721B31" w:rsidP="00721B31">
      <w:pPr>
        <w:spacing w:after="0" w:line="240" w:lineRule="auto"/>
        <w:rPr>
          <w:rFonts w:ascii="Times New Roman" w:eastAsia="Calibri" w:hAnsi="Times New Roman" w:cs="Times New Roman"/>
          <w:sz w:val="24"/>
          <w:szCs w:val="24"/>
        </w:rPr>
      </w:pPr>
    </w:p>
    <w:p w:rsidR="00721B31" w:rsidRPr="00721B31" w:rsidRDefault="00721B31" w:rsidP="00721B31">
      <w:pPr>
        <w:rPr>
          <w:rFonts w:ascii="Times New Roman" w:eastAsia="Calibri" w:hAnsi="Times New Roman" w:cs="Times New Roman"/>
          <w:sz w:val="24"/>
          <w:szCs w:val="24"/>
        </w:rPr>
      </w:pPr>
    </w:p>
    <w:p w:rsidR="009C5FB4" w:rsidRDefault="009C5FB4">
      <w:pPr>
        <w:rPr>
          <w:rFonts w:ascii="Times New Roman" w:hAnsi="Times New Roman" w:cs="Times New Roman"/>
          <w:sz w:val="24"/>
          <w:szCs w:val="24"/>
        </w:rPr>
      </w:pPr>
    </w:p>
    <w:p w:rsidR="007F7727" w:rsidRDefault="007F7727">
      <w:pPr>
        <w:rPr>
          <w:rFonts w:ascii="Times New Roman" w:hAnsi="Times New Roman" w:cs="Times New Roman"/>
          <w:sz w:val="24"/>
          <w:szCs w:val="24"/>
        </w:rPr>
      </w:pPr>
    </w:p>
    <w:p w:rsidR="007F7727" w:rsidRDefault="007F7727">
      <w:pPr>
        <w:rPr>
          <w:rFonts w:ascii="Times New Roman" w:hAnsi="Times New Roman" w:cs="Times New Roman"/>
          <w:sz w:val="24"/>
          <w:szCs w:val="24"/>
        </w:rPr>
      </w:pPr>
    </w:p>
    <w:p w:rsidR="007F7727" w:rsidRPr="007F7727" w:rsidRDefault="007F7727" w:rsidP="007F7727">
      <w:pPr>
        <w:pBdr>
          <w:bottom w:val="single" w:sz="4" w:space="1" w:color="auto"/>
        </w:pBdr>
        <w:spacing w:after="200" w:line="276" w:lineRule="auto"/>
        <w:jc w:val="center"/>
        <w:rPr>
          <w:rFonts w:ascii="Times New Roman" w:eastAsia="Calibri" w:hAnsi="Times New Roman" w:cs="Times New Roman"/>
          <w:b/>
          <w:sz w:val="28"/>
          <w:szCs w:val="28"/>
          <w:lang w:val="hr-BA"/>
        </w:rPr>
      </w:pPr>
    </w:p>
    <w:p w:rsidR="007F7727" w:rsidRPr="007F7727" w:rsidRDefault="007F7727" w:rsidP="007F7727">
      <w:pPr>
        <w:pBdr>
          <w:bottom w:val="single" w:sz="4" w:space="1" w:color="auto"/>
        </w:pBdr>
        <w:spacing w:after="200" w:line="276" w:lineRule="auto"/>
        <w:jc w:val="center"/>
        <w:rPr>
          <w:rFonts w:ascii="Times New Roman" w:eastAsia="Calibri" w:hAnsi="Times New Roman" w:cs="Times New Roman"/>
          <w:b/>
          <w:sz w:val="28"/>
          <w:szCs w:val="28"/>
          <w:lang w:val="hr-BA"/>
        </w:rPr>
      </w:pPr>
    </w:p>
    <w:p w:rsidR="007F7727" w:rsidRPr="007F7727" w:rsidRDefault="007F7727" w:rsidP="007F7727">
      <w:pPr>
        <w:pBdr>
          <w:bottom w:val="single" w:sz="4" w:space="1" w:color="auto"/>
        </w:pBdr>
        <w:spacing w:after="200" w:line="276" w:lineRule="auto"/>
        <w:jc w:val="center"/>
        <w:rPr>
          <w:rFonts w:ascii="Times New Roman" w:eastAsia="Calibri" w:hAnsi="Times New Roman" w:cs="Times New Roman"/>
          <w:b/>
          <w:sz w:val="28"/>
          <w:szCs w:val="28"/>
          <w:lang w:val="hr-BA"/>
        </w:rPr>
      </w:pPr>
    </w:p>
    <w:p w:rsidR="007F7727" w:rsidRPr="007F7727" w:rsidRDefault="007F7727" w:rsidP="007F7727">
      <w:pPr>
        <w:pBdr>
          <w:bottom w:val="single" w:sz="4" w:space="1" w:color="auto"/>
        </w:pBdr>
        <w:spacing w:after="200" w:line="276" w:lineRule="auto"/>
        <w:jc w:val="center"/>
        <w:rPr>
          <w:rFonts w:ascii="Times New Roman" w:eastAsia="Calibri" w:hAnsi="Times New Roman" w:cs="Times New Roman"/>
          <w:b/>
          <w:sz w:val="28"/>
          <w:szCs w:val="28"/>
          <w:lang w:val="hr-BA"/>
        </w:rPr>
      </w:pPr>
    </w:p>
    <w:p w:rsidR="007F7727" w:rsidRPr="007F7727" w:rsidRDefault="007F7727" w:rsidP="007F7727">
      <w:pPr>
        <w:pBdr>
          <w:bottom w:val="single" w:sz="4" w:space="1" w:color="auto"/>
        </w:pBdr>
        <w:spacing w:after="200" w:line="276" w:lineRule="auto"/>
        <w:jc w:val="center"/>
        <w:rPr>
          <w:rFonts w:ascii="Times New Roman" w:eastAsia="Calibri" w:hAnsi="Times New Roman" w:cs="Times New Roman"/>
          <w:b/>
          <w:sz w:val="28"/>
          <w:szCs w:val="28"/>
          <w:lang w:val="hr-BA"/>
        </w:rPr>
      </w:pPr>
    </w:p>
    <w:p w:rsidR="007F7727" w:rsidRPr="007F7727" w:rsidRDefault="007F7727" w:rsidP="007F7727">
      <w:pPr>
        <w:pBdr>
          <w:bottom w:val="single" w:sz="4" w:space="1" w:color="auto"/>
        </w:pBdr>
        <w:spacing w:after="200" w:line="276" w:lineRule="auto"/>
        <w:jc w:val="center"/>
        <w:rPr>
          <w:rFonts w:ascii="Times New Roman" w:eastAsia="Calibri" w:hAnsi="Times New Roman" w:cs="Times New Roman"/>
          <w:b/>
          <w:sz w:val="28"/>
          <w:szCs w:val="28"/>
          <w:lang w:val="hr-BA"/>
        </w:rPr>
      </w:pPr>
    </w:p>
    <w:p w:rsidR="007F7727" w:rsidRPr="007F7727" w:rsidRDefault="007F7727" w:rsidP="007F7727">
      <w:pPr>
        <w:pBdr>
          <w:bottom w:val="single" w:sz="4" w:space="1" w:color="auto"/>
        </w:pBdr>
        <w:spacing w:after="200" w:line="276" w:lineRule="auto"/>
        <w:jc w:val="center"/>
        <w:rPr>
          <w:rFonts w:ascii="Times New Roman" w:eastAsia="Calibri" w:hAnsi="Times New Roman" w:cs="Times New Roman"/>
          <w:b/>
          <w:sz w:val="28"/>
          <w:szCs w:val="28"/>
          <w:lang w:val="hr-BA"/>
        </w:rPr>
      </w:pPr>
      <w:r w:rsidRPr="007F7727">
        <w:rPr>
          <w:rFonts w:ascii="Times New Roman" w:eastAsia="Calibri" w:hAnsi="Times New Roman" w:cs="Times New Roman"/>
          <w:b/>
          <w:sz w:val="28"/>
          <w:szCs w:val="28"/>
          <w:lang w:val="hr-BA"/>
        </w:rPr>
        <w:t xml:space="preserve">ŽUPANIJA:  OSJEČKO-BARANJSKA </w:t>
      </w:r>
    </w:p>
    <w:p w:rsidR="007F7727" w:rsidRPr="007F7727" w:rsidRDefault="007F7727" w:rsidP="007F7727">
      <w:pPr>
        <w:spacing w:after="200" w:line="276" w:lineRule="auto"/>
        <w:jc w:val="center"/>
        <w:rPr>
          <w:rFonts w:ascii="Times New Roman" w:eastAsia="Calibri" w:hAnsi="Times New Roman" w:cs="Times New Roman"/>
          <w:b/>
          <w:sz w:val="28"/>
          <w:szCs w:val="28"/>
          <w:lang w:val="hr-BA"/>
        </w:rPr>
      </w:pPr>
      <w:r w:rsidRPr="007F7727">
        <w:rPr>
          <w:rFonts w:ascii="Times New Roman" w:eastAsia="Calibri" w:hAnsi="Times New Roman" w:cs="Times New Roman"/>
          <w:b/>
          <w:sz w:val="28"/>
          <w:szCs w:val="28"/>
          <w:lang w:val="hr-BA"/>
        </w:rPr>
        <w:t>NACRT PRIJEDLOGA</w:t>
      </w:r>
    </w:p>
    <w:p w:rsidR="007F7727" w:rsidRPr="007F7727" w:rsidRDefault="007F7727" w:rsidP="007F7727">
      <w:pPr>
        <w:spacing w:after="200" w:line="276" w:lineRule="auto"/>
        <w:jc w:val="center"/>
        <w:rPr>
          <w:rFonts w:ascii="Times New Roman" w:eastAsia="Calibri" w:hAnsi="Times New Roman" w:cs="Times New Roman"/>
          <w:b/>
          <w:color w:val="FF0000"/>
          <w:sz w:val="28"/>
          <w:szCs w:val="28"/>
          <w:lang w:val="hr-BA"/>
        </w:rPr>
      </w:pPr>
      <w:r w:rsidRPr="007F7727">
        <w:rPr>
          <w:rFonts w:ascii="Times New Roman" w:eastAsia="Calibri" w:hAnsi="Times New Roman" w:cs="Times New Roman"/>
          <w:b/>
          <w:sz w:val="28"/>
          <w:szCs w:val="28"/>
          <w:lang w:val="hr-BA"/>
        </w:rPr>
        <w:t>PROGRAMA RASPOLAGANJA POLJOPRIVREDNIM ZEMLJIŠTEM U VLASNIŠTVU REPUBLIKE HRVATSKE</w:t>
      </w:r>
    </w:p>
    <w:p w:rsidR="007F7727" w:rsidRPr="007F7727" w:rsidRDefault="007F7727" w:rsidP="007F7727">
      <w:pPr>
        <w:spacing w:after="200" w:line="276" w:lineRule="auto"/>
        <w:jc w:val="center"/>
        <w:rPr>
          <w:rFonts w:ascii="Times New Roman" w:eastAsia="Calibri" w:hAnsi="Times New Roman" w:cs="Times New Roman"/>
          <w:b/>
          <w:color w:val="FF0000"/>
          <w:sz w:val="28"/>
          <w:szCs w:val="28"/>
          <w:lang w:val="hr-BA"/>
        </w:rPr>
      </w:pPr>
    </w:p>
    <w:p w:rsidR="007F7727" w:rsidRPr="007F7727" w:rsidRDefault="007F7727" w:rsidP="007F7727">
      <w:pPr>
        <w:spacing w:after="200" w:line="276" w:lineRule="auto"/>
        <w:jc w:val="center"/>
        <w:rPr>
          <w:rFonts w:ascii="Times New Roman" w:eastAsia="Calibri" w:hAnsi="Times New Roman" w:cs="Times New Roman"/>
          <w:b/>
          <w:color w:val="FF0000"/>
          <w:sz w:val="28"/>
          <w:szCs w:val="28"/>
          <w:lang w:val="hr-BA"/>
        </w:rPr>
      </w:pPr>
    </w:p>
    <w:p w:rsidR="007F7727" w:rsidRPr="007F7727" w:rsidRDefault="007F7727" w:rsidP="007F7727">
      <w:pPr>
        <w:pBdr>
          <w:bottom w:val="single" w:sz="4" w:space="1" w:color="auto"/>
        </w:pBdr>
        <w:spacing w:after="200" w:line="276" w:lineRule="auto"/>
        <w:jc w:val="center"/>
        <w:rPr>
          <w:rFonts w:ascii="Times New Roman" w:eastAsia="Calibri" w:hAnsi="Times New Roman" w:cs="Times New Roman"/>
          <w:b/>
          <w:sz w:val="28"/>
          <w:szCs w:val="28"/>
        </w:rPr>
      </w:pPr>
      <w:r w:rsidRPr="007F7727">
        <w:rPr>
          <w:rFonts w:ascii="Times New Roman" w:eastAsia="Calibri" w:hAnsi="Times New Roman" w:cs="Times New Roman"/>
          <w:b/>
          <w:sz w:val="28"/>
          <w:szCs w:val="28"/>
          <w:lang w:val="hr-BA"/>
        </w:rPr>
        <w:t>ZA OPĆINU ŠODOLOVCI</w:t>
      </w:r>
    </w:p>
    <w:p w:rsidR="007F7727" w:rsidRPr="007F7727" w:rsidRDefault="007F7727" w:rsidP="007F7727">
      <w:pPr>
        <w:spacing w:after="200" w:line="276" w:lineRule="auto"/>
        <w:jc w:val="center"/>
        <w:rPr>
          <w:rFonts w:ascii="Times New Roman" w:eastAsia="Calibri" w:hAnsi="Times New Roman" w:cs="Times New Roman"/>
          <w:b/>
          <w:sz w:val="28"/>
          <w:szCs w:val="28"/>
        </w:rPr>
      </w:pPr>
    </w:p>
    <w:p w:rsidR="007F7727" w:rsidRPr="007F7727" w:rsidRDefault="007F7727" w:rsidP="007F7727">
      <w:pPr>
        <w:spacing w:after="200" w:line="276" w:lineRule="auto"/>
        <w:jc w:val="center"/>
        <w:rPr>
          <w:rFonts w:ascii="Times New Roman" w:eastAsia="Calibri" w:hAnsi="Times New Roman" w:cs="Times New Roman"/>
          <w:b/>
          <w:sz w:val="28"/>
          <w:szCs w:val="28"/>
        </w:rPr>
      </w:pPr>
    </w:p>
    <w:p w:rsidR="007F7727" w:rsidRPr="007F7727" w:rsidRDefault="007F7727" w:rsidP="007F7727">
      <w:pPr>
        <w:spacing w:after="200" w:line="276" w:lineRule="auto"/>
        <w:jc w:val="center"/>
        <w:rPr>
          <w:rFonts w:ascii="Times New Roman" w:eastAsia="Calibri" w:hAnsi="Times New Roman" w:cs="Times New Roman"/>
          <w:b/>
          <w:sz w:val="28"/>
          <w:szCs w:val="28"/>
        </w:rPr>
      </w:pPr>
    </w:p>
    <w:p w:rsidR="007F7727" w:rsidRPr="007F7727" w:rsidRDefault="007F7727" w:rsidP="007F7727">
      <w:pPr>
        <w:spacing w:after="200" w:line="276" w:lineRule="auto"/>
        <w:jc w:val="center"/>
        <w:rPr>
          <w:rFonts w:ascii="Times New Roman" w:eastAsia="Calibri" w:hAnsi="Times New Roman" w:cs="Times New Roman"/>
          <w:b/>
          <w:sz w:val="28"/>
          <w:szCs w:val="28"/>
        </w:rPr>
      </w:pPr>
    </w:p>
    <w:p w:rsidR="007F7727" w:rsidRPr="007F7727" w:rsidRDefault="007F7727" w:rsidP="007F7727">
      <w:pPr>
        <w:spacing w:after="200" w:line="276" w:lineRule="auto"/>
        <w:jc w:val="center"/>
        <w:rPr>
          <w:rFonts w:ascii="Times New Roman" w:eastAsia="Calibri" w:hAnsi="Times New Roman" w:cs="Times New Roman"/>
          <w:b/>
          <w:sz w:val="28"/>
          <w:szCs w:val="28"/>
        </w:rPr>
      </w:pPr>
    </w:p>
    <w:p w:rsidR="007F7727" w:rsidRPr="007F7727" w:rsidRDefault="007F7727" w:rsidP="007F7727">
      <w:pPr>
        <w:spacing w:after="200" w:line="276" w:lineRule="auto"/>
        <w:jc w:val="center"/>
        <w:rPr>
          <w:rFonts w:ascii="Times New Roman" w:eastAsia="Calibri" w:hAnsi="Times New Roman" w:cs="Times New Roman"/>
          <w:b/>
          <w:sz w:val="28"/>
          <w:szCs w:val="28"/>
        </w:rPr>
      </w:pPr>
    </w:p>
    <w:p w:rsidR="007F7727" w:rsidRPr="007F7727" w:rsidRDefault="007F7727" w:rsidP="007F7727">
      <w:pPr>
        <w:spacing w:after="200" w:line="276" w:lineRule="auto"/>
        <w:jc w:val="center"/>
        <w:rPr>
          <w:rFonts w:ascii="Times New Roman" w:eastAsia="Calibri" w:hAnsi="Times New Roman" w:cs="Times New Roman"/>
          <w:b/>
          <w:sz w:val="28"/>
          <w:szCs w:val="28"/>
        </w:rPr>
      </w:pPr>
    </w:p>
    <w:p w:rsidR="007F7727" w:rsidRPr="007F7727" w:rsidRDefault="007F7727" w:rsidP="007F7727">
      <w:pPr>
        <w:spacing w:after="200" w:line="276" w:lineRule="auto"/>
        <w:jc w:val="center"/>
        <w:rPr>
          <w:rFonts w:ascii="Times New Roman" w:eastAsia="Calibri" w:hAnsi="Times New Roman" w:cs="Times New Roman"/>
          <w:b/>
          <w:sz w:val="28"/>
          <w:szCs w:val="28"/>
        </w:rPr>
      </w:pPr>
    </w:p>
    <w:p w:rsidR="007F7727" w:rsidRPr="007F7727" w:rsidRDefault="007F7727" w:rsidP="007F7727">
      <w:pPr>
        <w:spacing w:after="200" w:line="276" w:lineRule="auto"/>
        <w:jc w:val="center"/>
        <w:rPr>
          <w:rFonts w:ascii="Times New Roman" w:eastAsia="Calibri" w:hAnsi="Times New Roman" w:cs="Times New Roman"/>
          <w:b/>
          <w:sz w:val="28"/>
          <w:szCs w:val="28"/>
        </w:rPr>
      </w:pPr>
    </w:p>
    <w:p w:rsidR="007F7727" w:rsidRDefault="007F7727" w:rsidP="007F7727">
      <w:pPr>
        <w:spacing w:after="200" w:line="276" w:lineRule="auto"/>
        <w:jc w:val="center"/>
        <w:rPr>
          <w:rFonts w:ascii="Times New Roman" w:eastAsia="Calibri" w:hAnsi="Times New Roman" w:cs="Times New Roman"/>
          <w:b/>
          <w:sz w:val="28"/>
          <w:szCs w:val="28"/>
        </w:rPr>
      </w:pPr>
    </w:p>
    <w:p w:rsidR="007F7727" w:rsidRPr="007F7727" w:rsidRDefault="007F7727" w:rsidP="007F7727">
      <w:pPr>
        <w:spacing w:after="200" w:line="276" w:lineRule="auto"/>
        <w:jc w:val="center"/>
        <w:rPr>
          <w:rFonts w:ascii="Times New Roman" w:eastAsia="Calibri" w:hAnsi="Times New Roman" w:cs="Times New Roman"/>
          <w:b/>
          <w:sz w:val="28"/>
          <w:szCs w:val="28"/>
        </w:rPr>
      </w:pPr>
      <w:bookmarkStart w:id="0" w:name="_GoBack"/>
      <w:bookmarkEnd w:id="0"/>
    </w:p>
    <w:p w:rsidR="007F7727" w:rsidRPr="007F7727" w:rsidRDefault="007F7727" w:rsidP="007F7727">
      <w:pPr>
        <w:spacing w:after="200" w:line="276" w:lineRule="auto"/>
        <w:jc w:val="both"/>
        <w:rPr>
          <w:rFonts w:ascii="Times New Roman" w:eastAsia="Calibri" w:hAnsi="Times New Roman" w:cs="Times New Roman"/>
          <w:b/>
          <w:sz w:val="24"/>
          <w:szCs w:val="24"/>
        </w:rPr>
      </w:pPr>
    </w:p>
    <w:p w:rsidR="007F7727" w:rsidRPr="007F7727" w:rsidRDefault="007F7727" w:rsidP="007F7727">
      <w:pPr>
        <w:spacing w:after="200" w:line="276" w:lineRule="auto"/>
        <w:rPr>
          <w:rFonts w:ascii="Times New Roman" w:eastAsia="Calibri" w:hAnsi="Times New Roman" w:cs="Times New Roman"/>
          <w:b/>
          <w:sz w:val="24"/>
          <w:szCs w:val="24"/>
          <w:lang w:val="hr-BA"/>
        </w:rPr>
      </w:pPr>
      <w:r w:rsidRPr="007F7727">
        <w:rPr>
          <w:rFonts w:ascii="Times New Roman" w:eastAsia="Calibri" w:hAnsi="Times New Roman" w:cs="Times New Roman"/>
          <w:b/>
          <w:sz w:val="24"/>
          <w:szCs w:val="24"/>
          <w:lang w:val="hr-BA"/>
        </w:rPr>
        <w:lastRenderedPageBreak/>
        <w:t>SADRŽAJ PROGRAMA</w:t>
      </w:r>
    </w:p>
    <w:p w:rsidR="007F7727" w:rsidRPr="007F7727" w:rsidRDefault="007F7727" w:rsidP="007F7727">
      <w:pPr>
        <w:spacing w:after="200" w:line="276" w:lineRule="auto"/>
        <w:jc w:val="both"/>
        <w:rPr>
          <w:rFonts w:ascii="Times New Roman" w:eastAsia="Calibri" w:hAnsi="Times New Roman" w:cs="Times New Roman"/>
          <w:b/>
          <w:sz w:val="24"/>
          <w:szCs w:val="24"/>
        </w:rPr>
      </w:pPr>
    </w:p>
    <w:p w:rsidR="007F7727" w:rsidRPr="007F7727" w:rsidRDefault="007F7727" w:rsidP="007F7727">
      <w:pPr>
        <w:numPr>
          <w:ilvl w:val="0"/>
          <w:numId w:val="2"/>
        </w:numPr>
        <w:spacing w:after="200" w:line="276" w:lineRule="auto"/>
        <w:contextualSpacing/>
        <w:jc w:val="both"/>
        <w:rPr>
          <w:rFonts w:ascii="Times New Roman" w:eastAsia="Calibri" w:hAnsi="Times New Roman" w:cs="Times New Roman"/>
          <w:sz w:val="24"/>
          <w:szCs w:val="24"/>
        </w:rPr>
      </w:pPr>
      <w:r w:rsidRPr="007F7727">
        <w:rPr>
          <w:rFonts w:ascii="Times New Roman" w:eastAsia="Calibri" w:hAnsi="Times New Roman" w:cs="Times New Roman"/>
          <w:sz w:val="24"/>
          <w:szCs w:val="24"/>
        </w:rPr>
        <w:t>Ukupna površina poljoprivrednog zemljišta u vlasništvu države na području općine ŠODOLOVCI, iznosi: 1041,6699 ha</w:t>
      </w:r>
    </w:p>
    <w:p w:rsidR="007F7727" w:rsidRPr="007F7727" w:rsidRDefault="007F7727" w:rsidP="007F7727">
      <w:pPr>
        <w:spacing w:after="200" w:line="276" w:lineRule="auto"/>
        <w:ind w:left="720"/>
        <w:contextualSpacing/>
        <w:jc w:val="both"/>
        <w:rPr>
          <w:rFonts w:ascii="Times New Roman" w:eastAsia="Calibri" w:hAnsi="Times New Roman" w:cs="Times New Roman"/>
          <w:b/>
          <w:sz w:val="24"/>
          <w:szCs w:val="24"/>
        </w:rPr>
      </w:pPr>
    </w:p>
    <w:p w:rsidR="007F7727" w:rsidRPr="007F7727" w:rsidRDefault="007F7727" w:rsidP="007F7727">
      <w:pPr>
        <w:spacing w:after="200" w:line="276" w:lineRule="auto"/>
        <w:ind w:left="720"/>
        <w:contextualSpacing/>
        <w:jc w:val="both"/>
        <w:rPr>
          <w:rFonts w:ascii="Times New Roman" w:eastAsia="Calibri" w:hAnsi="Times New Roman" w:cs="Times New Roman"/>
          <w:b/>
          <w:sz w:val="24"/>
          <w:szCs w:val="24"/>
        </w:rPr>
      </w:pPr>
    </w:p>
    <w:p w:rsidR="007F7727" w:rsidRPr="007F7727" w:rsidRDefault="007F7727" w:rsidP="007F7727">
      <w:pPr>
        <w:numPr>
          <w:ilvl w:val="0"/>
          <w:numId w:val="2"/>
        </w:numPr>
        <w:spacing w:after="200" w:line="276" w:lineRule="auto"/>
        <w:contextualSpacing/>
        <w:rPr>
          <w:rFonts w:ascii="Times New Roman" w:eastAsia="Calibri" w:hAnsi="Times New Roman" w:cs="Times New Roman"/>
          <w:sz w:val="24"/>
          <w:szCs w:val="24"/>
        </w:rPr>
      </w:pPr>
      <w:r w:rsidRPr="007F7727">
        <w:rPr>
          <w:rFonts w:ascii="Times New Roman" w:eastAsia="Calibri" w:hAnsi="Times New Roman" w:cs="Times New Roman"/>
          <w:sz w:val="24"/>
          <w:szCs w:val="24"/>
        </w:rPr>
        <w:t>Podaci o dosadašnjem raspolaganju</w:t>
      </w:r>
    </w:p>
    <w:p w:rsidR="007F7727" w:rsidRPr="007F7727" w:rsidRDefault="007F7727" w:rsidP="007F7727">
      <w:pPr>
        <w:spacing w:after="0" w:line="240" w:lineRule="auto"/>
        <w:rPr>
          <w:rFonts w:ascii="Times New Roman" w:eastAsia="Calibri" w:hAnsi="Times New Roman" w:cs="Times New Roman"/>
          <w:b/>
          <w:sz w:val="24"/>
          <w:szCs w:val="24"/>
        </w:rPr>
      </w:pPr>
      <w:r w:rsidRPr="007F7727">
        <w:rPr>
          <w:rFonts w:ascii="Times New Roman" w:eastAsia="Calibri" w:hAnsi="Times New Roman" w:cs="Times New Roman"/>
          <w:b/>
          <w:sz w:val="24"/>
          <w:szCs w:val="24"/>
        </w:rPr>
        <w:t xml:space="preserve">T-1 Prikaz </w:t>
      </w:r>
      <w:r w:rsidRPr="007F7727">
        <w:rPr>
          <w:rFonts w:ascii="Times New Roman" w:eastAsia="Calibri" w:hAnsi="Times New Roman" w:cs="Times New Roman"/>
          <w:b/>
          <w:szCs w:val="24"/>
        </w:rPr>
        <w:t xml:space="preserve">dosadašnjeg </w:t>
      </w:r>
      <w:r w:rsidRPr="007F7727">
        <w:rPr>
          <w:rFonts w:ascii="Times New Roman" w:eastAsia="Calibri" w:hAnsi="Times New Roman" w:cs="Times New Roman"/>
          <w:b/>
          <w:sz w:val="24"/>
          <w:szCs w:val="24"/>
        </w:rPr>
        <w:t>raspolaganja po svim oblicima - površina u ha</w:t>
      </w:r>
    </w:p>
    <w:tbl>
      <w:tblPr>
        <w:tblStyle w:val="Reetkatablice"/>
        <w:tblW w:w="0" w:type="auto"/>
        <w:tblLayout w:type="fixed"/>
        <w:tblLook w:val="04A0" w:firstRow="1" w:lastRow="0" w:firstColumn="1" w:lastColumn="0" w:noHBand="0" w:noVBand="1"/>
      </w:tblPr>
      <w:tblGrid>
        <w:gridCol w:w="817"/>
        <w:gridCol w:w="3826"/>
        <w:gridCol w:w="1561"/>
        <w:gridCol w:w="1984"/>
      </w:tblGrid>
      <w:tr w:rsidR="007F7727" w:rsidRPr="007F7727" w:rsidTr="00A12C72">
        <w:tc>
          <w:tcPr>
            <w:tcW w:w="817" w:type="dxa"/>
            <w:vAlign w:val="center"/>
          </w:tcPr>
          <w:p w:rsidR="007F7727" w:rsidRPr="007F7727" w:rsidRDefault="007F7727" w:rsidP="007F7727">
            <w:pPr>
              <w:jc w:val="center"/>
              <w:rPr>
                <w:rFonts w:ascii="Times New Roman" w:eastAsia="Calibri" w:hAnsi="Times New Roman" w:cs="Times New Roman"/>
                <w:b/>
              </w:rPr>
            </w:pPr>
            <w:r w:rsidRPr="007F7727">
              <w:rPr>
                <w:rFonts w:ascii="Times New Roman" w:eastAsia="Calibri" w:hAnsi="Times New Roman" w:cs="Times New Roman"/>
                <w:b/>
              </w:rPr>
              <w:t>R.br.</w:t>
            </w:r>
          </w:p>
        </w:tc>
        <w:tc>
          <w:tcPr>
            <w:tcW w:w="3826" w:type="dxa"/>
            <w:vAlign w:val="center"/>
          </w:tcPr>
          <w:p w:rsidR="007F7727" w:rsidRPr="007F7727" w:rsidRDefault="007F7727" w:rsidP="007F7727">
            <w:pPr>
              <w:jc w:val="center"/>
              <w:rPr>
                <w:rFonts w:ascii="Times New Roman" w:eastAsia="Calibri" w:hAnsi="Times New Roman" w:cs="Times New Roman"/>
                <w:b/>
              </w:rPr>
            </w:pPr>
            <w:r w:rsidRPr="007F7727">
              <w:rPr>
                <w:rFonts w:ascii="Times New Roman" w:eastAsia="Calibri" w:hAnsi="Times New Roman" w:cs="Times New Roman"/>
                <w:b/>
              </w:rPr>
              <w:t xml:space="preserve">OBLIK RASPOLAGANJA </w:t>
            </w:r>
          </w:p>
          <w:p w:rsidR="007F7727" w:rsidRPr="007F7727" w:rsidRDefault="007F7727" w:rsidP="007F7727">
            <w:pPr>
              <w:jc w:val="center"/>
              <w:rPr>
                <w:rFonts w:ascii="Times New Roman" w:eastAsia="Calibri" w:hAnsi="Times New Roman" w:cs="Times New Roman"/>
                <w:b/>
              </w:rPr>
            </w:pPr>
            <w:r w:rsidRPr="007F7727">
              <w:rPr>
                <w:rFonts w:ascii="Times New Roman" w:eastAsia="Calibri" w:hAnsi="Times New Roman" w:cs="Times New Roman"/>
                <w:b/>
              </w:rPr>
              <w:t>( skraćeni naziv iz ugovora)</w:t>
            </w:r>
          </w:p>
        </w:tc>
        <w:tc>
          <w:tcPr>
            <w:tcW w:w="1561" w:type="dxa"/>
            <w:vAlign w:val="center"/>
          </w:tcPr>
          <w:p w:rsidR="007F7727" w:rsidRPr="007F7727" w:rsidRDefault="007F7727" w:rsidP="007F7727">
            <w:pPr>
              <w:jc w:val="center"/>
              <w:rPr>
                <w:rFonts w:ascii="Times New Roman" w:eastAsia="Calibri" w:hAnsi="Times New Roman" w:cs="Times New Roman"/>
                <w:b/>
              </w:rPr>
            </w:pPr>
            <w:r w:rsidRPr="007F7727">
              <w:rPr>
                <w:rFonts w:ascii="Times New Roman" w:eastAsia="Calibri" w:hAnsi="Times New Roman" w:cs="Times New Roman"/>
                <w:b/>
              </w:rPr>
              <w:t>Ukupan broj ugovora</w:t>
            </w:r>
          </w:p>
        </w:tc>
        <w:tc>
          <w:tcPr>
            <w:tcW w:w="1984" w:type="dxa"/>
            <w:vAlign w:val="center"/>
          </w:tcPr>
          <w:p w:rsidR="007F7727" w:rsidRPr="007F7727" w:rsidRDefault="007F7727" w:rsidP="007F7727">
            <w:pPr>
              <w:jc w:val="center"/>
              <w:rPr>
                <w:rFonts w:ascii="Times New Roman" w:eastAsia="Calibri" w:hAnsi="Times New Roman" w:cs="Times New Roman"/>
                <w:b/>
              </w:rPr>
            </w:pPr>
            <w:r w:rsidRPr="007F7727">
              <w:rPr>
                <w:rFonts w:ascii="Times New Roman" w:eastAsia="Calibri" w:hAnsi="Times New Roman" w:cs="Times New Roman"/>
                <w:b/>
              </w:rPr>
              <w:t>Ukupna površina po ugovorima</w:t>
            </w:r>
          </w:p>
        </w:tc>
      </w:tr>
      <w:tr w:rsidR="007F7727" w:rsidRPr="007F7727" w:rsidTr="00A12C72">
        <w:tc>
          <w:tcPr>
            <w:tcW w:w="817" w:type="dxa"/>
          </w:tcPr>
          <w:p w:rsidR="007F7727" w:rsidRPr="007F7727" w:rsidRDefault="007F7727" w:rsidP="007F7727">
            <w:pPr>
              <w:rPr>
                <w:rFonts w:ascii="Times New Roman" w:eastAsia="Calibri" w:hAnsi="Times New Roman" w:cs="Times New Roman"/>
                <w:b/>
                <w:sz w:val="24"/>
                <w:szCs w:val="24"/>
              </w:rPr>
            </w:pPr>
          </w:p>
        </w:tc>
        <w:tc>
          <w:tcPr>
            <w:tcW w:w="3826"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zakup</w:t>
            </w:r>
          </w:p>
        </w:tc>
        <w:tc>
          <w:tcPr>
            <w:tcW w:w="1561"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w:t>
            </w:r>
          </w:p>
        </w:tc>
        <w:tc>
          <w:tcPr>
            <w:tcW w:w="1984"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w:t>
            </w:r>
          </w:p>
        </w:tc>
      </w:tr>
      <w:tr w:rsidR="007F7727" w:rsidRPr="007F7727" w:rsidTr="00A12C72">
        <w:tc>
          <w:tcPr>
            <w:tcW w:w="817" w:type="dxa"/>
          </w:tcPr>
          <w:p w:rsidR="007F7727" w:rsidRPr="007F7727" w:rsidRDefault="007F7727" w:rsidP="007F7727">
            <w:pPr>
              <w:rPr>
                <w:rFonts w:ascii="Times New Roman" w:eastAsia="Calibri" w:hAnsi="Times New Roman" w:cs="Times New Roman"/>
                <w:b/>
                <w:sz w:val="24"/>
                <w:szCs w:val="24"/>
              </w:rPr>
            </w:pPr>
          </w:p>
        </w:tc>
        <w:tc>
          <w:tcPr>
            <w:tcW w:w="3826"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dugogodišnji zakup</w:t>
            </w:r>
          </w:p>
        </w:tc>
        <w:tc>
          <w:tcPr>
            <w:tcW w:w="1561"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w:t>
            </w:r>
          </w:p>
        </w:tc>
        <w:tc>
          <w:tcPr>
            <w:tcW w:w="1984"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w:t>
            </w:r>
          </w:p>
        </w:tc>
      </w:tr>
      <w:tr w:rsidR="007F7727" w:rsidRPr="007F7727" w:rsidTr="00A12C72">
        <w:tc>
          <w:tcPr>
            <w:tcW w:w="817" w:type="dxa"/>
          </w:tcPr>
          <w:p w:rsidR="007F7727" w:rsidRPr="007F7727" w:rsidRDefault="007F7727" w:rsidP="007F7727">
            <w:pPr>
              <w:rPr>
                <w:rFonts w:ascii="Times New Roman" w:eastAsia="Calibri" w:hAnsi="Times New Roman" w:cs="Times New Roman"/>
                <w:b/>
                <w:sz w:val="24"/>
                <w:szCs w:val="24"/>
              </w:rPr>
            </w:pPr>
          </w:p>
        </w:tc>
        <w:tc>
          <w:tcPr>
            <w:tcW w:w="3826"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koncesija</w:t>
            </w:r>
          </w:p>
        </w:tc>
        <w:tc>
          <w:tcPr>
            <w:tcW w:w="1561"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3</w:t>
            </w:r>
          </w:p>
        </w:tc>
        <w:tc>
          <w:tcPr>
            <w:tcW w:w="1984"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704,4845</w:t>
            </w:r>
          </w:p>
        </w:tc>
      </w:tr>
      <w:tr w:rsidR="007F7727" w:rsidRPr="007F7727" w:rsidTr="00A12C72">
        <w:tc>
          <w:tcPr>
            <w:tcW w:w="817" w:type="dxa"/>
          </w:tcPr>
          <w:p w:rsidR="007F7727" w:rsidRPr="007F7727" w:rsidRDefault="007F7727" w:rsidP="007F7727">
            <w:pPr>
              <w:rPr>
                <w:rFonts w:ascii="Times New Roman" w:eastAsia="Calibri" w:hAnsi="Times New Roman" w:cs="Times New Roman"/>
                <w:b/>
                <w:sz w:val="24"/>
                <w:szCs w:val="24"/>
              </w:rPr>
            </w:pPr>
          </w:p>
        </w:tc>
        <w:tc>
          <w:tcPr>
            <w:tcW w:w="3826"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privremeno korištenje</w:t>
            </w:r>
          </w:p>
        </w:tc>
        <w:tc>
          <w:tcPr>
            <w:tcW w:w="1561"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15</w:t>
            </w:r>
          </w:p>
        </w:tc>
        <w:tc>
          <w:tcPr>
            <w:tcW w:w="1984"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49,1021</w:t>
            </w:r>
          </w:p>
        </w:tc>
      </w:tr>
      <w:tr w:rsidR="007F7727" w:rsidRPr="007F7727" w:rsidTr="00A12C72">
        <w:tc>
          <w:tcPr>
            <w:tcW w:w="817" w:type="dxa"/>
          </w:tcPr>
          <w:p w:rsidR="007F7727" w:rsidRPr="007F7727" w:rsidRDefault="007F7727" w:rsidP="007F7727">
            <w:pPr>
              <w:rPr>
                <w:rFonts w:ascii="Times New Roman" w:eastAsia="Calibri" w:hAnsi="Times New Roman" w:cs="Times New Roman"/>
                <w:b/>
                <w:sz w:val="24"/>
                <w:szCs w:val="24"/>
              </w:rPr>
            </w:pPr>
          </w:p>
        </w:tc>
        <w:tc>
          <w:tcPr>
            <w:tcW w:w="3826"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prodaja (neotplaćeno)*</w:t>
            </w:r>
          </w:p>
        </w:tc>
        <w:tc>
          <w:tcPr>
            <w:tcW w:w="1561"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56</w:t>
            </w:r>
          </w:p>
        </w:tc>
        <w:tc>
          <w:tcPr>
            <w:tcW w:w="1984"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 xml:space="preserve">674,0100 </w:t>
            </w:r>
          </w:p>
        </w:tc>
      </w:tr>
      <w:tr w:rsidR="007F7727" w:rsidRPr="007F7727" w:rsidTr="00A12C72">
        <w:tc>
          <w:tcPr>
            <w:tcW w:w="817" w:type="dxa"/>
          </w:tcPr>
          <w:p w:rsidR="007F7727" w:rsidRPr="007F7727" w:rsidRDefault="007F7727" w:rsidP="007F7727">
            <w:pPr>
              <w:rPr>
                <w:rFonts w:ascii="Times New Roman" w:eastAsia="Calibri" w:hAnsi="Times New Roman" w:cs="Times New Roman"/>
                <w:b/>
                <w:sz w:val="24"/>
                <w:szCs w:val="24"/>
              </w:rPr>
            </w:pPr>
          </w:p>
        </w:tc>
        <w:tc>
          <w:tcPr>
            <w:tcW w:w="3826" w:type="dxa"/>
          </w:tcPr>
          <w:p w:rsidR="007F7727" w:rsidRPr="007F7727" w:rsidRDefault="007F7727" w:rsidP="007F7727">
            <w:pPr>
              <w:rPr>
                <w:rFonts w:ascii="Times New Roman" w:eastAsia="Calibri" w:hAnsi="Times New Roman" w:cs="Times New Roman"/>
                <w:b/>
                <w:sz w:val="24"/>
                <w:szCs w:val="24"/>
              </w:rPr>
            </w:pPr>
            <w:r w:rsidRPr="007F7727">
              <w:rPr>
                <w:rFonts w:ascii="Times New Roman" w:eastAsia="Calibri" w:hAnsi="Times New Roman" w:cs="Times New Roman"/>
                <w:b/>
                <w:sz w:val="24"/>
                <w:szCs w:val="24"/>
              </w:rPr>
              <w:t>….</w:t>
            </w:r>
          </w:p>
        </w:tc>
        <w:tc>
          <w:tcPr>
            <w:tcW w:w="1561" w:type="dxa"/>
          </w:tcPr>
          <w:p w:rsidR="007F7727" w:rsidRPr="007F7727" w:rsidRDefault="007F7727" w:rsidP="007F7727">
            <w:pPr>
              <w:rPr>
                <w:rFonts w:ascii="Times New Roman" w:eastAsia="Calibri" w:hAnsi="Times New Roman" w:cs="Times New Roman"/>
                <w:b/>
                <w:sz w:val="24"/>
                <w:szCs w:val="24"/>
              </w:rPr>
            </w:pPr>
          </w:p>
        </w:tc>
        <w:tc>
          <w:tcPr>
            <w:tcW w:w="1984" w:type="dxa"/>
          </w:tcPr>
          <w:p w:rsidR="007F7727" w:rsidRPr="007F7727" w:rsidRDefault="007F7727" w:rsidP="007F7727">
            <w:pPr>
              <w:rPr>
                <w:rFonts w:ascii="Times New Roman" w:eastAsia="Calibri" w:hAnsi="Times New Roman" w:cs="Times New Roman"/>
                <w:b/>
                <w:sz w:val="24"/>
                <w:szCs w:val="24"/>
              </w:rPr>
            </w:pPr>
          </w:p>
        </w:tc>
      </w:tr>
    </w:tbl>
    <w:p w:rsidR="007F7727" w:rsidRPr="007F7727" w:rsidRDefault="007F7727" w:rsidP="007F7727">
      <w:pPr>
        <w:spacing w:after="200" w:line="276" w:lineRule="auto"/>
        <w:rPr>
          <w:rFonts w:ascii="Times New Roman" w:eastAsia="Calibri" w:hAnsi="Times New Roman" w:cs="Times New Roman"/>
          <w:sz w:val="24"/>
          <w:szCs w:val="24"/>
        </w:rPr>
      </w:pPr>
      <w:r w:rsidRPr="007F7727">
        <w:rPr>
          <w:rFonts w:ascii="Times New Roman" w:eastAsia="Calibri" w:hAnsi="Times New Roman" w:cs="Times New Roman"/>
          <w:sz w:val="24"/>
          <w:szCs w:val="24"/>
        </w:rPr>
        <w:t xml:space="preserve">*napomena: ovdje upisati samo površine koje su prodane, a neotplaćene </w:t>
      </w:r>
    </w:p>
    <w:p w:rsidR="007F7727" w:rsidRPr="007F7727" w:rsidRDefault="007F7727" w:rsidP="007F7727">
      <w:pPr>
        <w:spacing w:after="200" w:line="276" w:lineRule="auto"/>
        <w:rPr>
          <w:rFonts w:ascii="Times New Roman" w:eastAsia="Calibri" w:hAnsi="Times New Roman" w:cs="Times New Roman"/>
          <w:sz w:val="24"/>
          <w:szCs w:val="24"/>
        </w:rPr>
      </w:pPr>
      <w:r w:rsidRPr="007F7727">
        <w:rPr>
          <w:rFonts w:ascii="Times New Roman" w:eastAsia="Calibri" w:hAnsi="Times New Roman" w:cs="Times New Roman"/>
          <w:sz w:val="24"/>
          <w:szCs w:val="24"/>
        </w:rPr>
        <w:t>Ovdje je potrebno navesti sve oblike raspolaganja po svim dosadašnjim zakonima na temelju prijašnjih Zakona</w:t>
      </w:r>
    </w:p>
    <w:p w:rsidR="007F7727" w:rsidRPr="007F7727" w:rsidRDefault="007F7727" w:rsidP="007F7727">
      <w:pPr>
        <w:numPr>
          <w:ilvl w:val="0"/>
          <w:numId w:val="2"/>
        </w:numPr>
        <w:spacing w:after="200" w:line="276" w:lineRule="auto"/>
        <w:contextualSpacing/>
        <w:rPr>
          <w:rFonts w:ascii="Times New Roman" w:eastAsia="Calibri" w:hAnsi="Times New Roman" w:cs="Times New Roman"/>
          <w:sz w:val="24"/>
          <w:szCs w:val="24"/>
          <w:lang w:val="hr-BA"/>
        </w:rPr>
      </w:pPr>
      <w:r w:rsidRPr="007F7727">
        <w:rPr>
          <w:rFonts w:ascii="Times New Roman" w:eastAsia="Calibri" w:hAnsi="Times New Roman" w:cs="Times New Roman"/>
          <w:sz w:val="24"/>
          <w:szCs w:val="24"/>
          <w:lang w:val="hr-BA"/>
        </w:rPr>
        <w:t>Sumarni pregled površina poljoprivrednog zemljišta u vlasništvu države prema oblicima raspolaganja</w:t>
      </w:r>
    </w:p>
    <w:p w:rsidR="007F7727" w:rsidRPr="007F7727" w:rsidRDefault="007F7727" w:rsidP="007F7727">
      <w:pPr>
        <w:spacing w:after="200" w:line="276" w:lineRule="auto"/>
        <w:ind w:left="720"/>
        <w:contextualSpacing/>
        <w:rPr>
          <w:rFonts w:ascii="Times New Roman" w:eastAsia="Calibri" w:hAnsi="Times New Roman" w:cs="Times New Roman"/>
          <w:b/>
          <w:color w:val="FF0000"/>
          <w:sz w:val="24"/>
          <w:szCs w:val="24"/>
          <w:lang w:val="hr-BA"/>
        </w:rPr>
      </w:pPr>
    </w:p>
    <w:p w:rsidR="007F7727" w:rsidRPr="007F7727" w:rsidRDefault="007F7727" w:rsidP="007F7727">
      <w:pPr>
        <w:spacing w:after="0" w:line="240" w:lineRule="auto"/>
        <w:rPr>
          <w:rFonts w:ascii="Times New Roman" w:eastAsia="Calibri" w:hAnsi="Times New Roman" w:cs="Times New Roman"/>
          <w:b/>
          <w:sz w:val="24"/>
          <w:szCs w:val="24"/>
          <w:lang w:val="hr-BA"/>
        </w:rPr>
      </w:pPr>
      <w:r w:rsidRPr="007F7727">
        <w:rPr>
          <w:rFonts w:ascii="Times New Roman" w:eastAsia="Calibri" w:hAnsi="Times New Roman" w:cs="Times New Roman"/>
          <w:b/>
          <w:sz w:val="24"/>
          <w:szCs w:val="24"/>
          <w:lang w:val="hr-BA"/>
        </w:rPr>
        <w:t>T-2 Prikaz ukupnih površina po oblicima raspolaganja</w:t>
      </w:r>
    </w:p>
    <w:tbl>
      <w:tblPr>
        <w:tblStyle w:val="Reetkatablice"/>
        <w:tblW w:w="0" w:type="auto"/>
        <w:tblLook w:val="04A0" w:firstRow="1" w:lastRow="0" w:firstColumn="1" w:lastColumn="0" w:noHBand="0" w:noVBand="1"/>
      </w:tblPr>
      <w:tblGrid>
        <w:gridCol w:w="3096"/>
        <w:gridCol w:w="1407"/>
        <w:gridCol w:w="3969"/>
      </w:tblGrid>
      <w:tr w:rsidR="007F7727" w:rsidRPr="007F7727" w:rsidTr="00A12C72">
        <w:tc>
          <w:tcPr>
            <w:tcW w:w="3096" w:type="dxa"/>
            <w:vAlign w:val="center"/>
          </w:tcPr>
          <w:p w:rsidR="007F7727" w:rsidRPr="007F7727" w:rsidRDefault="007F7727" w:rsidP="007F7727">
            <w:pPr>
              <w:jc w:val="center"/>
              <w:rPr>
                <w:rFonts w:ascii="Times New Roman" w:eastAsia="Calibri" w:hAnsi="Times New Roman" w:cs="Times New Roman"/>
                <w:b/>
                <w:lang w:val="hr-BA"/>
              </w:rPr>
            </w:pPr>
            <w:r w:rsidRPr="007F7727">
              <w:rPr>
                <w:rFonts w:ascii="Times New Roman" w:eastAsia="Calibri" w:hAnsi="Times New Roman" w:cs="Times New Roman"/>
                <w:b/>
                <w:lang w:val="hr-BA"/>
              </w:rPr>
              <w:t>OBLIK RASPOLAGANJA</w:t>
            </w:r>
          </w:p>
        </w:tc>
        <w:tc>
          <w:tcPr>
            <w:tcW w:w="1407" w:type="dxa"/>
            <w:vAlign w:val="center"/>
          </w:tcPr>
          <w:p w:rsidR="007F7727" w:rsidRPr="007F7727" w:rsidRDefault="007F7727" w:rsidP="007F7727">
            <w:pPr>
              <w:jc w:val="center"/>
              <w:rPr>
                <w:rFonts w:ascii="Times New Roman" w:eastAsia="Calibri" w:hAnsi="Times New Roman" w:cs="Times New Roman"/>
                <w:b/>
                <w:lang w:val="hr-BA"/>
              </w:rPr>
            </w:pPr>
            <w:r w:rsidRPr="007F7727">
              <w:rPr>
                <w:rFonts w:ascii="Times New Roman" w:eastAsia="Calibri" w:hAnsi="Times New Roman" w:cs="Times New Roman"/>
                <w:b/>
                <w:lang w:val="hr-BA"/>
              </w:rPr>
              <w:t>Površina</w:t>
            </w:r>
          </w:p>
          <w:p w:rsidR="007F7727" w:rsidRPr="007F7727" w:rsidRDefault="007F7727" w:rsidP="007F7727">
            <w:pPr>
              <w:jc w:val="center"/>
              <w:rPr>
                <w:rFonts w:ascii="Times New Roman" w:eastAsia="Calibri" w:hAnsi="Times New Roman" w:cs="Times New Roman"/>
                <w:b/>
                <w:lang w:val="hr-BA"/>
              </w:rPr>
            </w:pPr>
            <w:r w:rsidRPr="007F7727">
              <w:rPr>
                <w:rFonts w:ascii="Times New Roman" w:eastAsia="Calibri" w:hAnsi="Times New Roman" w:cs="Times New Roman"/>
                <w:b/>
                <w:lang w:val="hr-BA"/>
              </w:rPr>
              <w:t>u ha</w:t>
            </w:r>
          </w:p>
        </w:tc>
        <w:tc>
          <w:tcPr>
            <w:tcW w:w="3969" w:type="dxa"/>
            <w:vAlign w:val="center"/>
          </w:tcPr>
          <w:p w:rsidR="007F7727" w:rsidRPr="007F7727" w:rsidRDefault="007F7727" w:rsidP="007F7727">
            <w:pPr>
              <w:jc w:val="center"/>
              <w:rPr>
                <w:rFonts w:ascii="Times New Roman" w:eastAsia="Calibri" w:hAnsi="Times New Roman" w:cs="Times New Roman"/>
                <w:b/>
                <w:lang w:val="hr-BA"/>
              </w:rPr>
            </w:pPr>
            <w:r w:rsidRPr="007F7727">
              <w:rPr>
                <w:rFonts w:ascii="Times New Roman" w:eastAsia="Calibri" w:hAnsi="Times New Roman" w:cs="Times New Roman"/>
                <w:b/>
                <w:lang w:val="hr-BA"/>
              </w:rPr>
              <w:t>NAPOMENA</w:t>
            </w:r>
          </w:p>
          <w:p w:rsidR="007F7727" w:rsidRPr="007F7727" w:rsidRDefault="007F7727" w:rsidP="007F7727">
            <w:pPr>
              <w:jc w:val="center"/>
              <w:rPr>
                <w:rFonts w:ascii="Times New Roman" w:eastAsia="Calibri" w:hAnsi="Times New Roman" w:cs="Times New Roman"/>
                <w:b/>
                <w:lang w:val="hr-BA"/>
              </w:rPr>
            </w:pPr>
            <w:r w:rsidRPr="007F7727">
              <w:rPr>
                <w:rFonts w:ascii="Times New Roman" w:eastAsia="Calibri" w:hAnsi="Times New Roman" w:cs="Times New Roman"/>
                <w:b/>
                <w:lang w:val="hr-BA"/>
              </w:rPr>
              <w:t>(minirano, višegodišnji nasadi i sustavi odvodnje i navodnjavanja)</w:t>
            </w:r>
          </w:p>
        </w:tc>
      </w:tr>
      <w:tr w:rsidR="007F7727" w:rsidRPr="007F7727" w:rsidTr="00A12C72">
        <w:tc>
          <w:tcPr>
            <w:tcW w:w="3096" w:type="dxa"/>
          </w:tcPr>
          <w:p w:rsidR="007F7727" w:rsidRPr="007F7727" w:rsidRDefault="007F7727" w:rsidP="007F7727">
            <w:pPr>
              <w:jc w:val="center"/>
              <w:rPr>
                <w:rFonts w:ascii="Times New Roman" w:eastAsia="Calibri" w:hAnsi="Times New Roman" w:cs="Times New Roman"/>
                <w:b/>
                <w:lang w:val="hr-BA"/>
              </w:rPr>
            </w:pPr>
            <w:r w:rsidRPr="007F7727">
              <w:rPr>
                <w:rFonts w:ascii="Times New Roman" w:eastAsia="Calibri" w:hAnsi="Times New Roman" w:cs="Times New Roman"/>
              </w:rPr>
              <w:t xml:space="preserve">površine određene za </w:t>
            </w:r>
            <w:r w:rsidRPr="007F7727">
              <w:rPr>
                <w:rFonts w:ascii="Times New Roman" w:eastAsia="Calibri" w:hAnsi="Times New Roman" w:cs="Times New Roman"/>
                <w:b/>
              </w:rPr>
              <w:t>povrat</w:t>
            </w:r>
          </w:p>
        </w:tc>
        <w:tc>
          <w:tcPr>
            <w:tcW w:w="1407" w:type="dxa"/>
          </w:tcPr>
          <w:p w:rsidR="007F7727" w:rsidRPr="007F7727" w:rsidRDefault="007F7727" w:rsidP="007F7727">
            <w:pPr>
              <w:rPr>
                <w:rFonts w:ascii="Calibri" w:eastAsia="Calibri" w:hAnsi="Calibri" w:cs="Times New Roman"/>
                <w:b/>
                <w:lang w:val="hr-BA"/>
              </w:rPr>
            </w:pPr>
            <w:r w:rsidRPr="007F7727">
              <w:rPr>
                <w:rFonts w:ascii="Calibri" w:eastAsia="Calibri" w:hAnsi="Calibri" w:cs="Times New Roman"/>
                <w:b/>
                <w:lang w:val="hr-BA"/>
              </w:rPr>
              <w:t>0,6114</w:t>
            </w:r>
          </w:p>
        </w:tc>
        <w:tc>
          <w:tcPr>
            <w:tcW w:w="3969" w:type="dxa"/>
          </w:tcPr>
          <w:p w:rsidR="007F7727" w:rsidRPr="007F7727" w:rsidRDefault="007F7727" w:rsidP="007F7727">
            <w:pPr>
              <w:rPr>
                <w:rFonts w:ascii="Calibri" w:eastAsia="Calibri" w:hAnsi="Calibri" w:cs="Times New Roman"/>
                <w:b/>
                <w:lang w:val="hr-BA"/>
              </w:rPr>
            </w:pPr>
          </w:p>
        </w:tc>
      </w:tr>
      <w:tr w:rsidR="007F7727" w:rsidRPr="007F7727" w:rsidTr="00A12C72">
        <w:tc>
          <w:tcPr>
            <w:tcW w:w="3096" w:type="dxa"/>
          </w:tcPr>
          <w:p w:rsidR="007F7727" w:rsidRPr="007F7727" w:rsidRDefault="007F7727" w:rsidP="007F7727">
            <w:pPr>
              <w:jc w:val="center"/>
              <w:rPr>
                <w:rFonts w:ascii="Times New Roman" w:eastAsia="Calibri" w:hAnsi="Times New Roman" w:cs="Times New Roman"/>
              </w:rPr>
            </w:pPr>
            <w:r w:rsidRPr="007F7727">
              <w:rPr>
                <w:rFonts w:ascii="Times New Roman" w:eastAsia="Calibri" w:hAnsi="Times New Roman" w:cs="Times New Roman"/>
              </w:rPr>
              <w:t xml:space="preserve">površine određene za </w:t>
            </w:r>
            <w:r w:rsidRPr="007F7727">
              <w:rPr>
                <w:rFonts w:ascii="Times New Roman" w:eastAsia="Calibri" w:hAnsi="Times New Roman" w:cs="Times New Roman"/>
                <w:b/>
              </w:rPr>
              <w:t>prodaju</w:t>
            </w:r>
            <w:r w:rsidRPr="007F7727">
              <w:rPr>
                <w:rFonts w:ascii="Times New Roman" w:eastAsia="Calibri" w:hAnsi="Times New Roman" w:cs="Times New Roman"/>
              </w:rPr>
              <w:t xml:space="preserve">  </w:t>
            </w:r>
          </w:p>
          <w:p w:rsidR="007F7727" w:rsidRPr="007F7727" w:rsidRDefault="007F7727" w:rsidP="007F7727">
            <w:pPr>
              <w:jc w:val="center"/>
              <w:rPr>
                <w:rFonts w:ascii="Times New Roman" w:eastAsia="Calibri" w:hAnsi="Times New Roman" w:cs="Times New Roman"/>
              </w:rPr>
            </w:pPr>
            <w:r w:rsidRPr="007F7727">
              <w:rPr>
                <w:rFonts w:ascii="Times New Roman" w:eastAsia="Calibri" w:hAnsi="Times New Roman" w:cs="Times New Roman"/>
              </w:rPr>
              <w:t>- jednokratno, maksimalno</w:t>
            </w:r>
          </w:p>
          <w:p w:rsidR="007F7727" w:rsidRPr="007F7727" w:rsidRDefault="007F7727" w:rsidP="007F7727">
            <w:pPr>
              <w:jc w:val="center"/>
              <w:rPr>
                <w:rFonts w:ascii="Times New Roman" w:eastAsia="Calibri" w:hAnsi="Times New Roman" w:cs="Times New Roman"/>
                <w:b/>
                <w:lang w:val="hr-BA"/>
              </w:rPr>
            </w:pPr>
            <w:r w:rsidRPr="007F7727">
              <w:rPr>
                <w:rFonts w:ascii="Times New Roman" w:eastAsia="Calibri" w:hAnsi="Times New Roman" w:cs="Times New Roman"/>
              </w:rPr>
              <w:t xml:space="preserve"> do 25%</w:t>
            </w:r>
          </w:p>
        </w:tc>
        <w:tc>
          <w:tcPr>
            <w:tcW w:w="1407" w:type="dxa"/>
          </w:tcPr>
          <w:p w:rsidR="007F7727" w:rsidRPr="007F7727" w:rsidRDefault="007F7727" w:rsidP="007F7727">
            <w:pPr>
              <w:rPr>
                <w:rFonts w:ascii="Calibri" w:eastAsia="Calibri" w:hAnsi="Calibri" w:cs="Times New Roman"/>
                <w:b/>
                <w:lang w:val="hr-BA"/>
              </w:rPr>
            </w:pPr>
            <w:r w:rsidRPr="007F7727">
              <w:rPr>
                <w:rFonts w:ascii="Calibri" w:eastAsia="Calibri" w:hAnsi="Calibri" w:cs="Times New Roman"/>
                <w:b/>
                <w:lang w:val="hr-BA"/>
              </w:rPr>
              <w:t>0</w:t>
            </w:r>
          </w:p>
        </w:tc>
        <w:tc>
          <w:tcPr>
            <w:tcW w:w="3969" w:type="dxa"/>
          </w:tcPr>
          <w:p w:rsidR="007F7727" w:rsidRPr="007F7727" w:rsidRDefault="007F7727" w:rsidP="007F7727">
            <w:pPr>
              <w:rPr>
                <w:rFonts w:ascii="Calibri" w:eastAsia="Calibri" w:hAnsi="Calibri" w:cs="Times New Roman"/>
                <w:b/>
                <w:lang w:val="hr-BA"/>
              </w:rPr>
            </w:pPr>
          </w:p>
        </w:tc>
      </w:tr>
      <w:tr w:rsidR="007F7727" w:rsidRPr="007F7727" w:rsidTr="00A12C72">
        <w:trPr>
          <w:trHeight w:val="636"/>
        </w:trPr>
        <w:tc>
          <w:tcPr>
            <w:tcW w:w="3096" w:type="dxa"/>
          </w:tcPr>
          <w:p w:rsidR="007F7727" w:rsidRPr="007F7727" w:rsidRDefault="007F7727" w:rsidP="007F7727">
            <w:pPr>
              <w:jc w:val="center"/>
              <w:rPr>
                <w:rFonts w:ascii="Times New Roman" w:eastAsia="Calibri" w:hAnsi="Times New Roman" w:cs="Times New Roman"/>
                <w:b/>
                <w:lang w:val="hr-BA"/>
              </w:rPr>
            </w:pPr>
            <w:r w:rsidRPr="007F7727">
              <w:rPr>
                <w:rFonts w:ascii="Times New Roman" w:eastAsia="Calibri" w:hAnsi="Times New Roman" w:cs="Times New Roman"/>
              </w:rPr>
              <w:t xml:space="preserve">površine određene za </w:t>
            </w:r>
            <w:r w:rsidRPr="007F7727">
              <w:rPr>
                <w:rFonts w:ascii="Times New Roman" w:eastAsia="Calibri" w:hAnsi="Times New Roman" w:cs="Times New Roman"/>
                <w:b/>
              </w:rPr>
              <w:t>zakup</w:t>
            </w:r>
          </w:p>
        </w:tc>
        <w:tc>
          <w:tcPr>
            <w:tcW w:w="1407" w:type="dxa"/>
          </w:tcPr>
          <w:p w:rsidR="007F7727" w:rsidRPr="007F7727" w:rsidRDefault="007F7727" w:rsidP="007F7727">
            <w:pPr>
              <w:rPr>
                <w:rFonts w:ascii="Calibri" w:eastAsia="Calibri" w:hAnsi="Calibri" w:cs="Times New Roman"/>
                <w:b/>
                <w:lang w:val="hr-BA"/>
              </w:rPr>
            </w:pPr>
            <w:r w:rsidRPr="007F7727">
              <w:rPr>
                <w:rFonts w:ascii="Calibri" w:eastAsia="Calibri" w:hAnsi="Calibri" w:cs="Times New Roman"/>
                <w:b/>
                <w:lang w:val="hr-BA"/>
              </w:rPr>
              <w:t>1041,0585</w:t>
            </w:r>
          </w:p>
        </w:tc>
        <w:tc>
          <w:tcPr>
            <w:tcW w:w="3969" w:type="dxa"/>
          </w:tcPr>
          <w:p w:rsidR="007F7727" w:rsidRPr="007F7727" w:rsidRDefault="007F7727" w:rsidP="007F7727">
            <w:pPr>
              <w:rPr>
                <w:rFonts w:ascii="Calibri" w:eastAsia="Calibri" w:hAnsi="Calibri" w:cs="Times New Roman"/>
                <w:b/>
                <w:lang w:val="hr-BA"/>
              </w:rPr>
            </w:pPr>
          </w:p>
        </w:tc>
      </w:tr>
      <w:tr w:rsidR="007F7727" w:rsidRPr="007F7727" w:rsidTr="00A12C72">
        <w:tc>
          <w:tcPr>
            <w:tcW w:w="3096" w:type="dxa"/>
          </w:tcPr>
          <w:p w:rsidR="007F7727" w:rsidRPr="007F7727" w:rsidRDefault="007F7727" w:rsidP="007F7727">
            <w:pPr>
              <w:jc w:val="center"/>
              <w:rPr>
                <w:rFonts w:ascii="Times New Roman" w:eastAsia="Calibri" w:hAnsi="Times New Roman" w:cs="Times New Roman"/>
                <w:b/>
                <w:lang w:val="hr-BA"/>
              </w:rPr>
            </w:pPr>
            <w:r w:rsidRPr="007F7727">
              <w:rPr>
                <w:rFonts w:ascii="Times New Roman" w:eastAsia="Calibri" w:hAnsi="Times New Roman" w:cs="Times New Roman"/>
              </w:rPr>
              <w:t xml:space="preserve">površine određene za </w:t>
            </w:r>
            <w:r w:rsidRPr="007F7727">
              <w:rPr>
                <w:rFonts w:ascii="Times New Roman" w:eastAsia="Calibri" w:hAnsi="Times New Roman" w:cs="Times New Roman"/>
                <w:b/>
              </w:rPr>
              <w:t>zakup za ribnjake</w:t>
            </w:r>
          </w:p>
        </w:tc>
        <w:tc>
          <w:tcPr>
            <w:tcW w:w="1407" w:type="dxa"/>
          </w:tcPr>
          <w:p w:rsidR="007F7727" w:rsidRPr="007F7727" w:rsidRDefault="007F7727" w:rsidP="007F7727">
            <w:pPr>
              <w:rPr>
                <w:rFonts w:ascii="Calibri" w:eastAsia="Calibri" w:hAnsi="Calibri" w:cs="Times New Roman"/>
                <w:b/>
                <w:lang w:val="hr-BA"/>
              </w:rPr>
            </w:pPr>
            <w:r w:rsidRPr="007F7727">
              <w:rPr>
                <w:rFonts w:ascii="Calibri" w:eastAsia="Calibri" w:hAnsi="Calibri" w:cs="Times New Roman"/>
                <w:b/>
                <w:lang w:val="hr-BA"/>
              </w:rPr>
              <w:t>0</w:t>
            </w:r>
          </w:p>
        </w:tc>
        <w:tc>
          <w:tcPr>
            <w:tcW w:w="3969" w:type="dxa"/>
          </w:tcPr>
          <w:p w:rsidR="007F7727" w:rsidRPr="007F7727" w:rsidRDefault="007F7727" w:rsidP="007F7727">
            <w:pPr>
              <w:rPr>
                <w:rFonts w:ascii="Calibri" w:eastAsia="Calibri" w:hAnsi="Calibri" w:cs="Times New Roman"/>
                <w:b/>
                <w:lang w:val="hr-BA"/>
              </w:rPr>
            </w:pPr>
          </w:p>
        </w:tc>
      </w:tr>
      <w:tr w:rsidR="007F7727" w:rsidRPr="007F7727" w:rsidTr="00A12C72">
        <w:tc>
          <w:tcPr>
            <w:tcW w:w="3096" w:type="dxa"/>
          </w:tcPr>
          <w:p w:rsidR="007F7727" w:rsidRPr="007F7727" w:rsidRDefault="007F7727" w:rsidP="007F7727">
            <w:pPr>
              <w:jc w:val="center"/>
              <w:rPr>
                <w:rFonts w:ascii="Times New Roman" w:eastAsia="Calibri" w:hAnsi="Times New Roman" w:cs="Times New Roman"/>
                <w:b/>
                <w:lang w:val="hr-BA"/>
              </w:rPr>
            </w:pPr>
            <w:r w:rsidRPr="007F7727">
              <w:rPr>
                <w:rFonts w:ascii="Times New Roman" w:eastAsia="Calibri" w:hAnsi="Times New Roman" w:cs="Times New Roman"/>
              </w:rPr>
              <w:t xml:space="preserve">površine određene za </w:t>
            </w:r>
            <w:r w:rsidRPr="007F7727">
              <w:rPr>
                <w:rFonts w:ascii="Times New Roman" w:eastAsia="Calibri" w:hAnsi="Times New Roman" w:cs="Times New Roman"/>
                <w:b/>
              </w:rPr>
              <w:t>zakup zajedničkih pašnjaka</w:t>
            </w:r>
          </w:p>
        </w:tc>
        <w:tc>
          <w:tcPr>
            <w:tcW w:w="1407" w:type="dxa"/>
          </w:tcPr>
          <w:p w:rsidR="007F7727" w:rsidRPr="007F7727" w:rsidRDefault="007F7727" w:rsidP="007F7727">
            <w:pPr>
              <w:rPr>
                <w:rFonts w:ascii="Calibri" w:eastAsia="Calibri" w:hAnsi="Calibri" w:cs="Times New Roman"/>
                <w:b/>
                <w:lang w:val="hr-BA"/>
              </w:rPr>
            </w:pPr>
            <w:r w:rsidRPr="007F7727">
              <w:rPr>
                <w:rFonts w:ascii="Calibri" w:eastAsia="Calibri" w:hAnsi="Calibri" w:cs="Times New Roman"/>
                <w:b/>
                <w:lang w:val="hr-BA"/>
              </w:rPr>
              <w:t>0</w:t>
            </w:r>
          </w:p>
        </w:tc>
        <w:tc>
          <w:tcPr>
            <w:tcW w:w="3969" w:type="dxa"/>
          </w:tcPr>
          <w:p w:rsidR="007F7727" w:rsidRPr="007F7727" w:rsidRDefault="007F7727" w:rsidP="007F7727">
            <w:pPr>
              <w:rPr>
                <w:rFonts w:ascii="Calibri" w:eastAsia="Calibri" w:hAnsi="Calibri" w:cs="Times New Roman"/>
                <w:b/>
                <w:lang w:val="hr-BA"/>
              </w:rPr>
            </w:pPr>
          </w:p>
        </w:tc>
      </w:tr>
      <w:tr w:rsidR="007F7727" w:rsidRPr="007F7727" w:rsidTr="00A12C72">
        <w:tc>
          <w:tcPr>
            <w:tcW w:w="3096" w:type="dxa"/>
          </w:tcPr>
          <w:p w:rsidR="007F7727" w:rsidRPr="007F7727" w:rsidRDefault="007F7727" w:rsidP="007F7727">
            <w:pPr>
              <w:jc w:val="center"/>
              <w:rPr>
                <w:rFonts w:ascii="Times New Roman" w:eastAsia="Calibri" w:hAnsi="Times New Roman" w:cs="Times New Roman"/>
                <w:b/>
              </w:rPr>
            </w:pPr>
            <w:r w:rsidRPr="007F7727">
              <w:rPr>
                <w:rFonts w:ascii="Times New Roman" w:eastAsia="Calibri" w:hAnsi="Times New Roman" w:cs="Times New Roman"/>
              </w:rPr>
              <w:t xml:space="preserve">površine određene za </w:t>
            </w:r>
            <w:r w:rsidRPr="007F7727">
              <w:rPr>
                <w:rFonts w:ascii="Times New Roman" w:eastAsia="Calibri" w:hAnsi="Times New Roman" w:cs="Times New Roman"/>
                <w:b/>
              </w:rPr>
              <w:t xml:space="preserve">ostale namjene </w:t>
            </w:r>
          </w:p>
          <w:p w:rsidR="007F7727" w:rsidRPr="007F7727" w:rsidRDefault="007F7727" w:rsidP="007F7727">
            <w:pPr>
              <w:jc w:val="center"/>
              <w:rPr>
                <w:rFonts w:ascii="Times New Roman" w:eastAsia="Calibri" w:hAnsi="Times New Roman" w:cs="Times New Roman"/>
              </w:rPr>
            </w:pPr>
            <w:r w:rsidRPr="007F7727">
              <w:rPr>
                <w:rFonts w:ascii="Times New Roman" w:eastAsia="Calibri" w:hAnsi="Times New Roman" w:cs="Times New Roman"/>
              </w:rPr>
              <w:t xml:space="preserve">- jednokratno, maksimalno </w:t>
            </w:r>
          </w:p>
          <w:p w:rsidR="007F7727" w:rsidRPr="007F7727" w:rsidRDefault="007F7727" w:rsidP="007F7727">
            <w:pPr>
              <w:jc w:val="center"/>
              <w:rPr>
                <w:rFonts w:ascii="Times New Roman" w:eastAsia="Calibri" w:hAnsi="Times New Roman" w:cs="Times New Roman"/>
                <w:b/>
                <w:lang w:val="hr-BA"/>
              </w:rPr>
            </w:pPr>
            <w:r w:rsidRPr="007F7727">
              <w:rPr>
                <w:rFonts w:ascii="Times New Roman" w:eastAsia="Calibri" w:hAnsi="Times New Roman" w:cs="Times New Roman"/>
              </w:rPr>
              <w:t>do 5%</w:t>
            </w:r>
          </w:p>
        </w:tc>
        <w:tc>
          <w:tcPr>
            <w:tcW w:w="1407" w:type="dxa"/>
          </w:tcPr>
          <w:p w:rsidR="007F7727" w:rsidRPr="007F7727" w:rsidRDefault="007F7727" w:rsidP="007F7727">
            <w:pPr>
              <w:rPr>
                <w:rFonts w:ascii="Calibri" w:eastAsia="Calibri" w:hAnsi="Calibri" w:cs="Times New Roman"/>
                <w:b/>
                <w:lang w:val="hr-BA"/>
              </w:rPr>
            </w:pPr>
            <w:r w:rsidRPr="007F7727">
              <w:rPr>
                <w:rFonts w:ascii="Calibri" w:eastAsia="Calibri" w:hAnsi="Calibri" w:cs="Times New Roman"/>
                <w:b/>
                <w:lang w:val="hr-BA"/>
              </w:rPr>
              <w:t>0</w:t>
            </w:r>
          </w:p>
        </w:tc>
        <w:tc>
          <w:tcPr>
            <w:tcW w:w="3969" w:type="dxa"/>
          </w:tcPr>
          <w:p w:rsidR="007F7727" w:rsidRPr="007F7727" w:rsidRDefault="007F7727" w:rsidP="007F7727">
            <w:pPr>
              <w:rPr>
                <w:rFonts w:ascii="Calibri" w:eastAsia="Calibri" w:hAnsi="Calibri" w:cs="Times New Roman"/>
                <w:b/>
                <w:lang w:val="hr-BA"/>
              </w:rPr>
            </w:pPr>
          </w:p>
        </w:tc>
      </w:tr>
    </w:tbl>
    <w:p w:rsidR="007F7727" w:rsidRPr="007F7727" w:rsidRDefault="007F7727" w:rsidP="007F7727">
      <w:pPr>
        <w:spacing w:after="200" w:line="276" w:lineRule="auto"/>
        <w:rPr>
          <w:rFonts w:ascii="Calibri" w:eastAsia="Calibri" w:hAnsi="Calibri" w:cs="Times New Roman"/>
          <w:b/>
          <w:lang w:val="hr-BA"/>
        </w:rPr>
      </w:pPr>
    </w:p>
    <w:p w:rsidR="007F7727" w:rsidRPr="007F7727" w:rsidRDefault="007F7727" w:rsidP="007F7727">
      <w:pPr>
        <w:spacing w:after="200" w:line="276" w:lineRule="auto"/>
        <w:rPr>
          <w:rFonts w:ascii="Calibri" w:eastAsia="Calibri" w:hAnsi="Calibri" w:cs="Times New Roman"/>
          <w:b/>
          <w:lang w:val="hr-BA"/>
        </w:rPr>
      </w:pPr>
    </w:p>
    <w:p w:rsidR="007F7727" w:rsidRPr="007F7727" w:rsidRDefault="007F7727" w:rsidP="007F7727">
      <w:pPr>
        <w:spacing w:after="200" w:line="276" w:lineRule="auto"/>
        <w:rPr>
          <w:rFonts w:ascii="Times New Roman" w:eastAsia="Calibri" w:hAnsi="Times New Roman" w:cs="Times New Roman"/>
          <w:sz w:val="24"/>
          <w:szCs w:val="24"/>
        </w:rPr>
      </w:pPr>
      <w:r w:rsidRPr="007F7727">
        <w:rPr>
          <w:rFonts w:ascii="Times New Roman" w:eastAsia="Calibri" w:hAnsi="Times New Roman" w:cs="Times New Roman"/>
          <w:b/>
          <w:sz w:val="24"/>
          <w:szCs w:val="24"/>
        </w:rPr>
        <w:t>MAKSIMALNA POVRŠINA ZA ZAKUP iznosi:</w:t>
      </w:r>
      <w:r w:rsidRPr="007F7727">
        <w:rPr>
          <w:rFonts w:ascii="Times New Roman" w:eastAsia="Calibri" w:hAnsi="Times New Roman" w:cs="Times New Roman"/>
          <w:sz w:val="24"/>
          <w:szCs w:val="24"/>
        </w:rPr>
        <w:t xml:space="preserve"> 10 ha.</w:t>
      </w:r>
    </w:p>
    <w:p w:rsidR="007F7727" w:rsidRPr="007F7727" w:rsidRDefault="007F7727" w:rsidP="007F7727">
      <w:pPr>
        <w:spacing w:after="200" w:line="276" w:lineRule="auto"/>
        <w:rPr>
          <w:rFonts w:ascii="Times New Roman" w:eastAsia="Calibri" w:hAnsi="Times New Roman" w:cs="Times New Roman"/>
          <w:sz w:val="24"/>
          <w:szCs w:val="24"/>
        </w:rPr>
      </w:pPr>
    </w:p>
    <w:p w:rsidR="007F7727" w:rsidRPr="007F7727" w:rsidRDefault="007F7727" w:rsidP="007F7727">
      <w:pPr>
        <w:spacing w:after="200" w:line="276" w:lineRule="auto"/>
        <w:rPr>
          <w:rFonts w:ascii="Times New Roman" w:eastAsia="Calibri" w:hAnsi="Times New Roman" w:cs="Times New Roman"/>
          <w:sz w:val="24"/>
          <w:szCs w:val="24"/>
        </w:rPr>
      </w:pPr>
      <w:r w:rsidRPr="007F7727">
        <w:rPr>
          <w:rFonts w:ascii="Times New Roman" w:eastAsia="Calibri" w:hAnsi="Times New Roman" w:cs="Times New Roman"/>
          <w:b/>
          <w:sz w:val="24"/>
          <w:szCs w:val="24"/>
        </w:rPr>
        <w:t>NAPOMENA/OBRAZLOŽENJE</w:t>
      </w:r>
      <w:r w:rsidRPr="007F7727">
        <w:rPr>
          <w:rFonts w:ascii="Times New Roman" w:eastAsia="Calibri" w:hAnsi="Times New Roman" w:cs="Times New Roman"/>
          <w:sz w:val="24"/>
          <w:szCs w:val="24"/>
        </w:rPr>
        <w:t xml:space="preserve"> (određene specifičnosti za područje jedinice lokalne samouprave): </w:t>
      </w:r>
    </w:p>
    <w:tbl>
      <w:tblPr>
        <w:tblStyle w:val="Reetkatablice"/>
        <w:tblW w:w="9322" w:type="dxa"/>
        <w:tblLook w:val="04A0" w:firstRow="1" w:lastRow="0" w:firstColumn="1" w:lastColumn="0" w:noHBand="0" w:noVBand="1"/>
      </w:tblPr>
      <w:tblGrid>
        <w:gridCol w:w="9322"/>
      </w:tblGrid>
      <w:tr w:rsidR="007F7727" w:rsidRPr="007F7727" w:rsidTr="00A12C72">
        <w:trPr>
          <w:trHeight w:val="4997"/>
        </w:trPr>
        <w:tc>
          <w:tcPr>
            <w:tcW w:w="9322" w:type="dxa"/>
          </w:tcPr>
          <w:p w:rsidR="007F7727" w:rsidRPr="007F7727" w:rsidRDefault="007F7727" w:rsidP="007F7727">
            <w:pPr>
              <w:jc w:val="both"/>
              <w:rPr>
                <w:rFonts w:ascii="Times New Roman" w:eastAsia="Calibri" w:hAnsi="Times New Roman" w:cs="Times New Roman"/>
                <w:sz w:val="24"/>
                <w:szCs w:val="24"/>
              </w:rPr>
            </w:pPr>
            <w:r w:rsidRPr="007F7727">
              <w:rPr>
                <w:rFonts w:ascii="Times New Roman" w:eastAsia="Calibri" w:hAnsi="Times New Roman" w:cs="Times New Roman"/>
                <w:sz w:val="24"/>
                <w:szCs w:val="24"/>
              </w:rPr>
              <w:t>1. Općina Šodolovci bila je u obvezi je do 9. lipnja 2018. godine usvojiti Program raspolaganja poljoprivrednim zemljištem u vlasništvu Republike Hrvatske (dalje, skraćeno: Program).  Zbog kratkoće roka za donošenje  Programa, Prijedlog Programa upućen je na javni uvid, prije nego su pribavljena mišljenja i uvjerenja svih nadležnih tijela, propisanih člankom 2. Pravilnika o dokumentaciji potrebnoj za donošenje Programa raspolaganja poljoprivrednim zemljištem u vlasništvu Republike Hrvatske („Narodne novine“ br. 27/18). Navedena činjenica se posebno reflektira na sljedeće:</w:t>
            </w:r>
          </w:p>
          <w:p w:rsidR="007F7727" w:rsidRPr="007F7727" w:rsidRDefault="007F7727" w:rsidP="007F7727">
            <w:pPr>
              <w:jc w:val="both"/>
              <w:rPr>
                <w:rFonts w:ascii="Times New Roman" w:eastAsia="Calibri" w:hAnsi="Times New Roman" w:cs="Times New Roman"/>
                <w:sz w:val="24"/>
                <w:szCs w:val="24"/>
              </w:rPr>
            </w:pPr>
            <w:r w:rsidRPr="007F7727">
              <w:rPr>
                <w:rFonts w:ascii="Times New Roman" w:eastAsia="Calibri" w:hAnsi="Times New Roman" w:cs="Times New Roman"/>
                <w:sz w:val="24"/>
                <w:szCs w:val="24"/>
              </w:rPr>
              <w:t>- za potrebe izrade Programa, nisu bili dostupni podaci nalazi li se Općina Šodolovci na popisu minski sumnjivih područja te ima li miniranog zemljišta što eventualno može utjecati na konačan prijedlog Programa,</w:t>
            </w:r>
          </w:p>
          <w:p w:rsidR="007F7727" w:rsidRPr="007F7727" w:rsidRDefault="007F7727" w:rsidP="007F7727">
            <w:pPr>
              <w:jc w:val="both"/>
              <w:rPr>
                <w:rFonts w:ascii="Times New Roman" w:eastAsia="Calibri" w:hAnsi="Times New Roman" w:cs="Times New Roman"/>
                <w:sz w:val="24"/>
                <w:szCs w:val="24"/>
              </w:rPr>
            </w:pPr>
            <w:r w:rsidRPr="007F7727">
              <w:rPr>
                <w:rFonts w:ascii="Times New Roman" w:eastAsia="Calibri" w:hAnsi="Times New Roman" w:cs="Times New Roman"/>
                <w:sz w:val="24"/>
                <w:szCs w:val="24"/>
              </w:rPr>
              <w:t>- za potrebe izrade Programa, nisu bili dostupni podaci o položaju čestica te vrijednom (P1) i posebno vrijednom (P2) zemljištu iz kojih razloga se Programom nije planirala prodaja. Predmetno uvjerenje može utjecati na konačan prijedlog Programa.</w:t>
            </w:r>
          </w:p>
          <w:p w:rsidR="007F7727" w:rsidRPr="007F7727" w:rsidRDefault="007F7727" w:rsidP="007F7727">
            <w:pPr>
              <w:jc w:val="both"/>
              <w:rPr>
                <w:rFonts w:ascii="Times New Roman" w:eastAsia="Calibri" w:hAnsi="Times New Roman" w:cs="Times New Roman"/>
                <w:sz w:val="24"/>
                <w:szCs w:val="24"/>
              </w:rPr>
            </w:pPr>
            <w:r w:rsidRPr="007F7727">
              <w:rPr>
                <w:rFonts w:ascii="Times New Roman" w:eastAsia="Calibri" w:hAnsi="Times New Roman" w:cs="Times New Roman"/>
                <w:sz w:val="24"/>
                <w:szCs w:val="24"/>
              </w:rPr>
              <w:t>- Tijekom trajanja javnog uvida pristiglo su sljedeća očitovanja:</w:t>
            </w:r>
          </w:p>
          <w:p w:rsidR="007F7727" w:rsidRPr="007F7727" w:rsidRDefault="007F7727" w:rsidP="007F7727">
            <w:pPr>
              <w:jc w:val="both"/>
              <w:rPr>
                <w:rFonts w:ascii="Times New Roman" w:eastAsia="Calibri" w:hAnsi="Times New Roman" w:cs="Times New Roman"/>
                <w:sz w:val="24"/>
                <w:szCs w:val="24"/>
              </w:rPr>
            </w:pPr>
            <w:r w:rsidRPr="007F7727">
              <w:rPr>
                <w:rFonts w:ascii="Times New Roman" w:eastAsia="Calibri" w:hAnsi="Times New Roman" w:cs="Times New Roman"/>
                <w:sz w:val="24"/>
                <w:szCs w:val="24"/>
              </w:rPr>
              <w:t xml:space="preserve">a) Očitovanje Ureda državne uprave u Osječko-baranjskoj županije, Službe za imovinsko pravne poslove o površini koju je potrebno osigurati kao nadoknadu za oduzetu imovinu, koja prema dostavljenom očitovanju iznosi 5985 m² u k.o. Šodolovci. Sukladno dostavljenom očitovanju planirane su katastarske čestice za povrat zemljišta oduzetog za vrijeme komunističke vladavine. </w:t>
            </w:r>
          </w:p>
          <w:p w:rsidR="007F7727" w:rsidRPr="007F7727" w:rsidRDefault="007F7727" w:rsidP="007F7727">
            <w:pPr>
              <w:jc w:val="both"/>
              <w:rPr>
                <w:rFonts w:ascii="Times New Roman" w:eastAsia="Calibri" w:hAnsi="Times New Roman" w:cs="Times New Roman"/>
                <w:sz w:val="24"/>
                <w:szCs w:val="24"/>
              </w:rPr>
            </w:pPr>
            <w:r w:rsidRPr="007F7727">
              <w:rPr>
                <w:rFonts w:ascii="Times New Roman" w:eastAsia="Calibri" w:hAnsi="Times New Roman" w:cs="Times New Roman"/>
                <w:sz w:val="24"/>
                <w:szCs w:val="24"/>
              </w:rPr>
              <w:t xml:space="preserve">Navedeno je utjecalo na izmjene u Nacrtu Prijedloga Programa raspolaganja poljoprivrednim zemljištem u vlasništvu Republike Hrvatske za Općinu Šodolovci na način da je k.č.br. 391/1 u k.o. Šodolovci površine 6114 m²  iz prvobitno Programom predviđenog oblika raspolaganja </w:t>
            </w:r>
            <w:r w:rsidRPr="007F7727">
              <w:rPr>
                <w:rFonts w:ascii="Times New Roman" w:eastAsia="Calibri" w:hAnsi="Times New Roman" w:cs="Times New Roman"/>
                <w:i/>
                <w:sz w:val="24"/>
                <w:szCs w:val="24"/>
              </w:rPr>
              <w:t>ZAKUP</w:t>
            </w:r>
            <w:r w:rsidRPr="007F7727">
              <w:rPr>
                <w:rFonts w:ascii="Times New Roman" w:eastAsia="Calibri" w:hAnsi="Times New Roman" w:cs="Times New Roman"/>
                <w:sz w:val="24"/>
                <w:szCs w:val="24"/>
              </w:rPr>
              <w:t xml:space="preserve"> promijenjena u predviđeni oblik raspolaganja </w:t>
            </w:r>
            <w:r w:rsidRPr="007F7727">
              <w:rPr>
                <w:rFonts w:ascii="Times New Roman" w:eastAsia="Calibri" w:hAnsi="Times New Roman" w:cs="Times New Roman"/>
                <w:i/>
                <w:sz w:val="24"/>
                <w:szCs w:val="24"/>
              </w:rPr>
              <w:t>POVRAT</w:t>
            </w:r>
            <w:r w:rsidRPr="007F7727">
              <w:rPr>
                <w:rFonts w:ascii="Times New Roman" w:eastAsia="Calibri" w:hAnsi="Times New Roman" w:cs="Times New Roman"/>
                <w:sz w:val="24"/>
                <w:szCs w:val="24"/>
              </w:rPr>
              <w:t xml:space="preserve">. </w:t>
            </w:r>
          </w:p>
          <w:p w:rsidR="007F7727" w:rsidRPr="007F7727" w:rsidRDefault="007F7727" w:rsidP="007F7727">
            <w:pPr>
              <w:jc w:val="both"/>
              <w:rPr>
                <w:rFonts w:ascii="Times New Roman" w:eastAsia="Calibri" w:hAnsi="Times New Roman" w:cs="Times New Roman"/>
                <w:sz w:val="24"/>
                <w:szCs w:val="24"/>
              </w:rPr>
            </w:pPr>
            <w:r w:rsidRPr="007F7727">
              <w:rPr>
                <w:rFonts w:ascii="Times New Roman" w:eastAsia="Calibri" w:hAnsi="Times New Roman" w:cs="Times New Roman"/>
                <w:sz w:val="24"/>
                <w:szCs w:val="24"/>
              </w:rPr>
              <w:t>b) Očitovanje Hrvatskih šuma, Podružnica Osijek koji su dostavili Uvjerenje kojim se potvrđuje da se k.č.br. 247/22 (dio 11240 m²) u k.o. Šodolovci i k.č.br. 159/1 u k.o. Palača nalaze u šumskogospodarskim planovima za šume i šumska zemljišta u vlasništvu Republike Hrvatske.</w:t>
            </w:r>
          </w:p>
          <w:p w:rsidR="007F7727" w:rsidRPr="007F7727" w:rsidRDefault="007F7727" w:rsidP="007F7727">
            <w:pPr>
              <w:jc w:val="both"/>
              <w:rPr>
                <w:rFonts w:ascii="Times New Roman" w:eastAsia="Calibri" w:hAnsi="Times New Roman" w:cs="Times New Roman"/>
                <w:sz w:val="24"/>
                <w:szCs w:val="24"/>
              </w:rPr>
            </w:pPr>
            <w:r w:rsidRPr="007F7727">
              <w:rPr>
                <w:rFonts w:ascii="Times New Roman" w:eastAsia="Calibri" w:hAnsi="Times New Roman" w:cs="Times New Roman"/>
                <w:sz w:val="24"/>
                <w:szCs w:val="24"/>
              </w:rPr>
              <w:t>Navedeno je utjecalo na izmjene u Nacrtu Prijedloga Programa na način da su k.č.br. 247/22, k.o. Šodolovci i k.č.br. 159/1, k.o. Palača brisane iz Nacrta te se Program dostavlja na usvajanje Općinskom vijeću bez navedenih čestica.</w:t>
            </w:r>
          </w:p>
          <w:p w:rsidR="007F7727" w:rsidRPr="007F7727" w:rsidRDefault="007F7727" w:rsidP="007F7727">
            <w:pPr>
              <w:jc w:val="both"/>
              <w:rPr>
                <w:rFonts w:ascii="Times New Roman" w:eastAsia="Calibri" w:hAnsi="Times New Roman" w:cs="Times New Roman"/>
                <w:sz w:val="24"/>
                <w:szCs w:val="24"/>
              </w:rPr>
            </w:pPr>
            <w:r w:rsidRPr="007F7727">
              <w:rPr>
                <w:rFonts w:ascii="Times New Roman" w:eastAsia="Calibri" w:hAnsi="Times New Roman" w:cs="Times New Roman"/>
                <w:sz w:val="24"/>
                <w:szCs w:val="24"/>
              </w:rPr>
              <w:t>c) Upravni odjel za prostorno uređenje i graditeljstvo dostavio je očitovanje da isti ne vodi službenu evidenciju o sustavima javnog navodnjavanja te nisu u mogućnosti niti izdati očitovanje jesu li katastarske čestice iz Programa u obuhvatu postojećeg i/ili planiranog sustava javnog navodnjavanja;</w:t>
            </w:r>
          </w:p>
          <w:p w:rsidR="007F7727" w:rsidRPr="007F7727" w:rsidRDefault="007F7727" w:rsidP="007F7727">
            <w:pPr>
              <w:jc w:val="both"/>
              <w:rPr>
                <w:rFonts w:ascii="Times New Roman" w:eastAsia="Calibri" w:hAnsi="Times New Roman" w:cs="Times New Roman"/>
                <w:sz w:val="24"/>
                <w:szCs w:val="24"/>
              </w:rPr>
            </w:pPr>
            <w:r w:rsidRPr="007F7727">
              <w:rPr>
                <w:rFonts w:ascii="Times New Roman" w:eastAsia="Calibri" w:hAnsi="Times New Roman" w:cs="Times New Roman"/>
                <w:sz w:val="24"/>
                <w:szCs w:val="24"/>
              </w:rPr>
              <w:t xml:space="preserve">d) Očitovanje Hrvatskih voda, </w:t>
            </w:r>
            <w:proofErr w:type="spellStart"/>
            <w:r w:rsidRPr="007F7727">
              <w:rPr>
                <w:rFonts w:ascii="Times New Roman" w:eastAsia="Calibri" w:hAnsi="Times New Roman" w:cs="Times New Roman"/>
                <w:sz w:val="24"/>
                <w:szCs w:val="24"/>
              </w:rPr>
              <w:t>Vodnogospodarskog</w:t>
            </w:r>
            <w:proofErr w:type="spellEnd"/>
            <w:r w:rsidRPr="007F7727">
              <w:rPr>
                <w:rFonts w:ascii="Times New Roman" w:eastAsia="Calibri" w:hAnsi="Times New Roman" w:cs="Times New Roman"/>
                <w:sz w:val="24"/>
                <w:szCs w:val="24"/>
              </w:rPr>
              <w:t xml:space="preserve"> odjel za Dunav i donju Dravu za svaku pojedinu katastarsku česticu koja je predmet Programa raspolaganja postoje li na pojedinima ograničenja u smislu da je istom nije moguće uopće raspolagati ili je moguće samo raspolagati davanjem u zakup. </w:t>
            </w:r>
          </w:p>
          <w:p w:rsidR="007F7727" w:rsidRPr="007F7727" w:rsidRDefault="007F7727" w:rsidP="007F7727">
            <w:pPr>
              <w:jc w:val="both"/>
              <w:rPr>
                <w:rFonts w:ascii="Times New Roman" w:eastAsia="Calibri" w:hAnsi="Times New Roman" w:cs="Times New Roman"/>
                <w:sz w:val="24"/>
                <w:szCs w:val="24"/>
              </w:rPr>
            </w:pPr>
            <w:r w:rsidRPr="007F7727">
              <w:rPr>
                <w:rFonts w:ascii="Times New Roman" w:eastAsia="Calibri" w:hAnsi="Times New Roman" w:cs="Times New Roman"/>
                <w:sz w:val="24"/>
                <w:szCs w:val="24"/>
              </w:rPr>
              <w:t xml:space="preserve">2. Katastarska općina Palača dijeli se između Općine Šodolovci i Općine </w:t>
            </w:r>
            <w:proofErr w:type="spellStart"/>
            <w:r w:rsidRPr="007F7727">
              <w:rPr>
                <w:rFonts w:ascii="Times New Roman" w:eastAsia="Calibri" w:hAnsi="Times New Roman" w:cs="Times New Roman"/>
                <w:sz w:val="24"/>
                <w:szCs w:val="24"/>
              </w:rPr>
              <w:t>Trpinja</w:t>
            </w:r>
            <w:proofErr w:type="spellEnd"/>
            <w:r w:rsidRPr="007F7727">
              <w:rPr>
                <w:rFonts w:ascii="Times New Roman" w:eastAsia="Calibri" w:hAnsi="Times New Roman" w:cs="Times New Roman"/>
                <w:sz w:val="24"/>
                <w:szCs w:val="24"/>
              </w:rPr>
              <w:t xml:space="preserve"> (Vukovarsko-srijemska županija) te veći dio poljoprivrednog zemljišta u vlasništvu Republike Hrvatske na području te katastarske općine pripada Općini </w:t>
            </w:r>
            <w:proofErr w:type="spellStart"/>
            <w:r w:rsidRPr="007F7727">
              <w:rPr>
                <w:rFonts w:ascii="Times New Roman" w:eastAsia="Calibri" w:hAnsi="Times New Roman" w:cs="Times New Roman"/>
                <w:sz w:val="24"/>
                <w:szCs w:val="24"/>
              </w:rPr>
              <w:t>Trpinja</w:t>
            </w:r>
            <w:proofErr w:type="spellEnd"/>
            <w:r w:rsidRPr="007F7727">
              <w:rPr>
                <w:rFonts w:ascii="Times New Roman" w:eastAsia="Calibri" w:hAnsi="Times New Roman" w:cs="Times New Roman"/>
                <w:sz w:val="24"/>
                <w:szCs w:val="24"/>
              </w:rPr>
              <w:t>. Imenovane čestice nisu niti mogu biti predmetom raspolaganja ovim Programom.</w:t>
            </w:r>
          </w:p>
          <w:p w:rsidR="007F7727" w:rsidRPr="007F7727" w:rsidRDefault="007F7727" w:rsidP="007F7727">
            <w:pPr>
              <w:jc w:val="both"/>
              <w:rPr>
                <w:rFonts w:ascii="Times New Roman" w:eastAsia="Calibri" w:hAnsi="Times New Roman" w:cs="Times New Roman"/>
                <w:sz w:val="24"/>
                <w:szCs w:val="24"/>
              </w:rPr>
            </w:pPr>
            <w:r w:rsidRPr="007F7727">
              <w:rPr>
                <w:rFonts w:ascii="Times New Roman" w:eastAsia="Calibri" w:hAnsi="Times New Roman" w:cs="Times New Roman"/>
                <w:sz w:val="24"/>
                <w:szCs w:val="24"/>
              </w:rPr>
              <w:t>3.Na području Općine Šodolovci preostale čestice državnog poljoprivrednog zemljišta relativno su male površine te ne postoje veće tehnološke cjeline. Upravo ta činjenica utjecala je na ograničenja maksimalne površine za zakup na 10 ha.</w:t>
            </w:r>
          </w:p>
        </w:tc>
      </w:tr>
    </w:tbl>
    <w:p w:rsidR="007F7727" w:rsidRPr="00721B31" w:rsidRDefault="007F7727">
      <w:pPr>
        <w:rPr>
          <w:rFonts w:ascii="Times New Roman" w:hAnsi="Times New Roman" w:cs="Times New Roman"/>
          <w:sz w:val="24"/>
          <w:szCs w:val="24"/>
        </w:rPr>
      </w:pPr>
    </w:p>
    <w:sectPr w:rsidR="007F7727" w:rsidRPr="00721B3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BEC" w:rsidRDefault="00D04BEC">
      <w:pPr>
        <w:spacing w:after="0" w:line="240" w:lineRule="auto"/>
      </w:pPr>
      <w:r>
        <w:separator/>
      </w:r>
    </w:p>
  </w:endnote>
  <w:endnote w:type="continuationSeparator" w:id="0">
    <w:p w:rsidR="00D04BEC" w:rsidRDefault="00D0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658353"/>
      <w:docPartObj>
        <w:docPartGallery w:val="Page Numbers (Bottom of Page)"/>
        <w:docPartUnique/>
      </w:docPartObj>
    </w:sdtPr>
    <w:sdtEndPr/>
    <w:sdtContent>
      <w:p w:rsidR="00934B3D" w:rsidRDefault="00026164">
        <w:pPr>
          <w:pStyle w:val="Podnoje"/>
          <w:jc w:val="center"/>
        </w:pPr>
        <w:r>
          <w:fldChar w:fldCharType="begin"/>
        </w:r>
        <w:r>
          <w:instrText>PAGE   \* MERGEFORMAT</w:instrText>
        </w:r>
        <w:r>
          <w:fldChar w:fldCharType="separate"/>
        </w:r>
        <w:r>
          <w:rPr>
            <w:noProof/>
          </w:rPr>
          <w:t>1</w:t>
        </w:r>
        <w:r>
          <w:fldChar w:fldCharType="end"/>
        </w:r>
      </w:p>
    </w:sdtContent>
  </w:sdt>
  <w:p w:rsidR="00934B3D" w:rsidRDefault="00D04BE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BEC" w:rsidRDefault="00D04BEC">
      <w:pPr>
        <w:spacing w:after="0" w:line="240" w:lineRule="auto"/>
      </w:pPr>
      <w:r>
        <w:separator/>
      </w:r>
    </w:p>
  </w:footnote>
  <w:footnote w:type="continuationSeparator" w:id="0">
    <w:p w:rsidR="00D04BEC" w:rsidRDefault="00D04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81DED"/>
    <w:multiLevelType w:val="hybridMultilevel"/>
    <w:tmpl w:val="806E6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3190CDC"/>
    <w:multiLevelType w:val="hybridMultilevel"/>
    <w:tmpl w:val="E74E1EF4"/>
    <w:lvl w:ilvl="0" w:tplc="042A073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31"/>
    <w:rsid w:val="00026164"/>
    <w:rsid w:val="000F61F5"/>
    <w:rsid w:val="002055AB"/>
    <w:rsid w:val="00286B42"/>
    <w:rsid w:val="005C030B"/>
    <w:rsid w:val="006A4AEE"/>
    <w:rsid w:val="00721B31"/>
    <w:rsid w:val="007827F2"/>
    <w:rsid w:val="007F7727"/>
    <w:rsid w:val="00866510"/>
    <w:rsid w:val="009865F0"/>
    <w:rsid w:val="00986DB7"/>
    <w:rsid w:val="009A32B5"/>
    <w:rsid w:val="009C5FB4"/>
    <w:rsid w:val="00A25276"/>
    <w:rsid w:val="00AB191E"/>
    <w:rsid w:val="00CB458E"/>
    <w:rsid w:val="00D04BEC"/>
    <w:rsid w:val="00D96901"/>
    <w:rsid w:val="00EA6315"/>
    <w:rsid w:val="00F05214"/>
    <w:rsid w:val="00FD14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0EA4"/>
  <w15:chartTrackingRefBased/>
  <w15:docId w15:val="{904FAAF0-BCA3-4261-BD1D-C3F226D6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721B3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1B31"/>
  </w:style>
  <w:style w:type="character" w:styleId="Hiperveza">
    <w:name w:val="Hyperlink"/>
    <w:basedOn w:val="Zadanifontodlomka"/>
    <w:uiPriority w:val="99"/>
    <w:unhideWhenUsed/>
    <w:rsid w:val="002055AB"/>
    <w:rPr>
      <w:color w:val="0563C1" w:themeColor="hyperlink"/>
      <w:u w:val="single"/>
    </w:rPr>
  </w:style>
  <w:style w:type="character" w:styleId="Nerijeenospominjanje">
    <w:name w:val="Unresolved Mention"/>
    <w:basedOn w:val="Zadanifontodlomka"/>
    <w:uiPriority w:val="99"/>
    <w:semiHidden/>
    <w:unhideWhenUsed/>
    <w:rsid w:val="002055AB"/>
    <w:rPr>
      <w:color w:val="605E5C"/>
      <w:shd w:val="clear" w:color="auto" w:fill="E1DFDD"/>
    </w:rPr>
  </w:style>
  <w:style w:type="table" w:styleId="Reetkatablice">
    <w:name w:val="Table Grid"/>
    <w:basedOn w:val="Obinatablica"/>
    <w:uiPriority w:val="59"/>
    <w:rsid w:val="007F7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951</Words>
  <Characters>5421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12</cp:revision>
  <dcterms:created xsi:type="dcterms:W3CDTF">2018-07-05T12:25:00Z</dcterms:created>
  <dcterms:modified xsi:type="dcterms:W3CDTF">2018-07-10T09:21:00Z</dcterms:modified>
</cp:coreProperties>
</file>