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76" w:rsidRPr="008447DB" w:rsidRDefault="009B7676" w:rsidP="009B7676">
      <w:pPr>
        <w:pStyle w:val="Normal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648B" wp14:editId="7FE60CD2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457200" cy="571500"/>
            <wp:effectExtent l="0" t="0" r="0" b="0"/>
            <wp:wrapTight wrapText="bothSides">
              <wp:wrapPolygon edited="0">
                <wp:start x="3600" y="0"/>
                <wp:lineTo x="0" y="0"/>
                <wp:lineTo x="0" y="15120"/>
                <wp:lineTo x="3600" y="20880"/>
                <wp:lineTo x="6300" y="20880"/>
                <wp:lineTo x="14400" y="20880"/>
                <wp:lineTo x="17100" y="20880"/>
                <wp:lineTo x="20700" y="15120"/>
                <wp:lineTo x="20700" y="720"/>
                <wp:lineTo x="17100" y="0"/>
                <wp:lineTo x="360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676" w:rsidRDefault="009B7676" w:rsidP="009B7676">
      <w:pPr>
        <w:pStyle w:val="NormalWeb"/>
        <w:spacing w:before="0" w:beforeAutospacing="0" w:after="0" w:afterAutospacing="0"/>
      </w:pPr>
    </w:p>
    <w:p w:rsidR="009B7676" w:rsidRDefault="009B7676" w:rsidP="009B7676">
      <w:pPr>
        <w:pStyle w:val="NormalWeb"/>
        <w:spacing w:before="0" w:beforeAutospacing="0" w:after="0" w:afterAutospacing="0"/>
      </w:pPr>
    </w:p>
    <w:p w:rsidR="004F39FC" w:rsidRDefault="004F39FC" w:rsidP="009B7676">
      <w:pPr>
        <w:pStyle w:val="NormalWeb"/>
        <w:spacing w:before="0" w:beforeAutospacing="0" w:after="0" w:afterAutospacing="0"/>
      </w:pPr>
    </w:p>
    <w:p w:rsidR="009B7676" w:rsidRPr="004F39FC" w:rsidRDefault="009B7676" w:rsidP="009B7676">
      <w:pPr>
        <w:pStyle w:val="NormalWeb"/>
        <w:spacing w:before="0" w:beforeAutospacing="0" w:after="0" w:afterAutospacing="0"/>
        <w:rPr>
          <w:b/>
        </w:rPr>
      </w:pPr>
      <w:r w:rsidRPr="004F39FC">
        <w:rPr>
          <w:b/>
        </w:rPr>
        <w:t>REPUBLIKA HRVATSKA</w:t>
      </w:r>
    </w:p>
    <w:p w:rsidR="009B7676" w:rsidRPr="004F39FC" w:rsidRDefault="00D1782A" w:rsidP="009B7676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OSIJEČKO - BARANJSKA</w:t>
      </w:r>
      <w:r w:rsidR="004F39FC" w:rsidRPr="004F39FC">
        <w:rPr>
          <w:b/>
        </w:rPr>
        <w:t xml:space="preserve"> ŽUPANIJA</w:t>
      </w:r>
    </w:p>
    <w:p w:rsidR="009B7676" w:rsidRPr="004F39FC" w:rsidRDefault="009B7676" w:rsidP="009B7676">
      <w:pPr>
        <w:pStyle w:val="NormalWeb"/>
        <w:spacing w:before="0" w:beforeAutospacing="0" w:after="0" w:afterAutospacing="0"/>
        <w:rPr>
          <w:b/>
        </w:rPr>
      </w:pPr>
      <w:r w:rsidRPr="004F39FC">
        <w:rPr>
          <w:b/>
        </w:rPr>
        <w:t xml:space="preserve">OPĆINA </w:t>
      </w:r>
      <w:r w:rsidR="00D1782A">
        <w:rPr>
          <w:b/>
        </w:rPr>
        <w:t>ŠODOLOVCI</w:t>
      </w:r>
    </w:p>
    <w:p w:rsidR="009B7676" w:rsidRDefault="00D1782A" w:rsidP="009B7676">
      <w:r>
        <w:t>Šodolovci, Ive Andrića 3</w:t>
      </w:r>
    </w:p>
    <w:p w:rsidR="004F39FC" w:rsidRPr="00A02A82" w:rsidRDefault="009B7676" w:rsidP="009B7676">
      <w:r>
        <w:t xml:space="preserve">OIB: </w:t>
      </w:r>
      <w:r w:rsidR="00D1782A">
        <w:t>62765405304</w:t>
      </w:r>
    </w:p>
    <w:p w:rsidR="00E9027E" w:rsidRDefault="00E9027E" w:rsidP="009B7676">
      <w:pPr>
        <w:pStyle w:val="NormalWeb"/>
        <w:spacing w:before="0" w:beforeAutospacing="0" w:after="0" w:afterAutospacing="0"/>
        <w:rPr>
          <w:iCs/>
          <w:color w:val="FF0000"/>
        </w:rPr>
      </w:pPr>
    </w:p>
    <w:p w:rsidR="009B7676" w:rsidRPr="006A35AA" w:rsidRDefault="006A35AA" w:rsidP="009B7676">
      <w:pPr>
        <w:pStyle w:val="NormalWeb"/>
        <w:spacing w:before="0" w:beforeAutospacing="0" w:after="0" w:afterAutospacing="0"/>
        <w:rPr>
          <w:iCs/>
        </w:rPr>
      </w:pPr>
      <w:r>
        <w:rPr>
          <w:iCs/>
        </w:rPr>
        <w:t>Klasa: 400-06/16-01/5</w:t>
      </w:r>
    </w:p>
    <w:p w:rsidR="004F39FC" w:rsidRPr="006A35AA" w:rsidRDefault="006A35AA" w:rsidP="009B7676">
      <w:pPr>
        <w:pStyle w:val="NormalWeb"/>
        <w:spacing w:before="0" w:beforeAutospacing="0" w:after="0" w:afterAutospacing="0"/>
        <w:rPr>
          <w:iCs/>
        </w:rPr>
      </w:pPr>
      <w:r>
        <w:rPr>
          <w:iCs/>
        </w:rPr>
        <w:t>Urbroj: 2121/11-18-</w:t>
      </w:r>
      <w:bookmarkStart w:id="0" w:name="_GoBack"/>
      <w:bookmarkEnd w:id="0"/>
    </w:p>
    <w:p w:rsidR="009B7676" w:rsidRPr="00A02A82" w:rsidRDefault="00D1782A" w:rsidP="009B7676">
      <w:r>
        <w:t>Šodolovci</w:t>
      </w:r>
      <w:r w:rsidR="009B7676">
        <w:t xml:space="preserve">, </w:t>
      </w:r>
      <w:r w:rsidR="00EE2D56">
        <w:t>15</w:t>
      </w:r>
      <w:r w:rsidR="005C4D64">
        <w:t xml:space="preserve">. veljače </w:t>
      </w:r>
      <w:r w:rsidR="009B7676" w:rsidRPr="00A02A82">
        <w:t xml:space="preserve"> 201</w:t>
      </w:r>
      <w:r w:rsidR="00EE2D56">
        <w:t>8</w:t>
      </w:r>
      <w:r w:rsidR="009B7676" w:rsidRPr="00A02A82">
        <w:t>. godine</w:t>
      </w:r>
    </w:p>
    <w:p w:rsidR="009B7676" w:rsidRDefault="009B7676" w:rsidP="009B7676">
      <w:pPr>
        <w:pStyle w:val="Title"/>
        <w:rPr>
          <w:sz w:val="28"/>
          <w:szCs w:val="28"/>
        </w:rPr>
      </w:pPr>
    </w:p>
    <w:p w:rsidR="009B7676" w:rsidRDefault="009B7676" w:rsidP="009B7676">
      <w:pPr>
        <w:pStyle w:val="Title"/>
        <w:rPr>
          <w:sz w:val="28"/>
          <w:szCs w:val="28"/>
        </w:rPr>
      </w:pPr>
    </w:p>
    <w:p w:rsidR="009B7676" w:rsidRPr="00E9027E" w:rsidRDefault="00E9027E" w:rsidP="009B7676">
      <w:pPr>
        <w:pStyle w:val="Title"/>
        <w:rPr>
          <w:sz w:val="40"/>
          <w:szCs w:val="40"/>
        </w:rPr>
      </w:pPr>
      <w:r w:rsidRPr="00E9027E">
        <w:rPr>
          <w:sz w:val="40"/>
          <w:szCs w:val="40"/>
        </w:rPr>
        <w:t xml:space="preserve">BILJEŠKE </w:t>
      </w:r>
    </w:p>
    <w:p w:rsidR="00E9027E" w:rsidRDefault="00E9027E" w:rsidP="009B7676">
      <w:pPr>
        <w:pStyle w:val="Title"/>
        <w:rPr>
          <w:sz w:val="28"/>
          <w:szCs w:val="28"/>
        </w:rPr>
      </w:pPr>
      <w:r>
        <w:rPr>
          <w:sz w:val="28"/>
          <w:szCs w:val="28"/>
        </w:rPr>
        <w:t>UZ FINANCIJSKE IZVJEŠTAJE</w:t>
      </w:r>
    </w:p>
    <w:p w:rsidR="009B7676" w:rsidRDefault="00E9027E" w:rsidP="002C3179">
      <w:pPr>
        <w:pStyle w:val="Title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 xml:space="preserve">za razdoblje </w:t>
      </w:r>
      <w:r w:rsidR="009B7676" w:rsidRPr="004F39FC">
        <w:rPr>
          <w:b w:val="0"/>
          <w:i/>
          <w:sz w:val="28"/>
          <w:szCs w:val="28"/>
        </w:rPr>
        <w:t>od 01. siječnja do 31. prosinca 201</w:t>
      </w:r>
      <w:r w:rsidR="00EE2D56">
        <w:rPr>
          <w:b w:val="0"/>
          <w:i/>
          <w:sz w:val="28"/>
          <w:szCs w:val="28"/>
        </w:rPr>
        <w:t>7</w:t>
      </w:r>
      <w:r w:rsidR="009B7676" w:rsidRPr="004F39FC">
        <w:rPr>
          <w:b w:val="0"/>
          <w:i/>
          <w:sz w:val="28"/>
          <w:szCs w:val="28"/>
        </w:rPr>
        <w:t>. godine</w:t>
      </w:r>
    </w:p>
    <w:p w:rsidR="00EE0718" w:rsidRPr="004F39FC" w:rsidRDefault="00EE0718" w:rsidP="008E7FF8">
      <w:pPr>
        <w:pStyle w:val="Title"/>
        <w:jc w:val="left"/>
        <w:rPr>
          <w:b w:val="0"/>
          <w:i/>
          <w:sz w:val="28"/>
          <w:szCs w:val="28"/>
        </w:rPr>
      </w:pPr>
    </w:p>
    <w:p w:rsidR="00432CAB" w:rsidRDefault="00432CAB"/>
    <w:p w:rsidR="00EE0718" w:rsidRDefault="00EE0718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UVOD</w:t>
      </w:r>
    </w:p>
    <w:p w:rsidR="00A45F81" w:rsidRDefault="00A45F81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 xml:space="preserve">1. Naziv obveznika: </w:t>
      </w:r>
      <w:r>
        <w:rPr>
          <w:rFonts w:eastAsiaTheme="minorHAnsi"/>
          <w:b/>
          <w:bCs/>
          <w:lang w:eastAsia="en-US"/>
        </w:rPr>
        <w:t xml:space="preserve">OPĆINA </w:t>
      </w:r>
      <w:r w:rsidR="00D1782A">
        <w:rPr>
          <w:rFonts w:eastAsiaTheme="minorHAnsi"/>
          <w:b/>
          <w:bCs/>
          <w:lang w:eastAsia="en-US"/>
        </w:rPr>
        <w:t>ŠODOLOVCI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Sjedište obveznika: </w:t>
      </w:r>
      <w:r w:rsidR="00D1782A">
        <w:rPr>
          <w:rFonts w:eastAsiaTheme="minorHAnsi"/>
          <w:lang w:eastAsia="en-US"/>
        </w:rPr>
        <w:t>31 216 ANTUNOVAC</w:t>
      </w:r>
    </w:p>
    <w:p w:rsidR="00EE2D56" w:rsidRDefault="00EE0718" w:rsidP="00EE0718">
      <w:pPr>
        <w:autoSpaceDE w:val="0"/>
        <w:autoSpaceDN w:val="0"/>
        <w:adjustRightInd w:val="0"/>
        <w:spacing w:line="360" w:lineRule="auto"/>
        <w:ind w:left="567"/>
      </w:pPr>
      <w:r>
        <w:rPr>
          <w:rFonts w:eastAsiaTheme="minorHAnsi"/>
          <w:lang w:eastAsia="en-US"/>
        </w:rPr>
        <w:t xml:space="preserve">3. Adresa sjedišta: </w:t>
      </w:r>
      <w:r w:rsidR="00D1782A">
        <w:t>Ive Andrića 3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Šifra općine: </w:t>
      </w:r>
      <w:r w:rsidR="00D1782A">
        <w:rPr>
          <w:rFonts w:eastAsiaTheme="minorHAnsi"/>
          <w:lang w:eastAsia="en-US"/>
        </w:rPr>
        <w:t>614</w:t>
      </w:r>
    </w:p>
    <w:p w:rsidR="00EE2D56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Broj RKP-a: </w:t>
      </w:r>
      <w:r w:rsidR="00D1782A">
        <w:rPr>
          <w:rFonts w:eastAsiaTheme="minorHAnsi"/>
          <w:lang w:eastAsia="en-US"/>
        </w:rPr>
        <w:t>36900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Matični broj: </w:t>
      </w:r>
      <w:r w:rsidR="00D1782A">
        <w:rPr>
          <w:rFonts w:eastAsiaTheme="minorHAnsi"/>
          <w:lang w:eastAsia="en-US"/>
        </w:rPr>
        <w:t>02552639</w:t>
      </w:r>
    </w:p>
    <w:p w:rsidR="00EE2D56" w:rsidRDefault="00EE0718" w:rsidP="00EE2D56">
      <w:pPr>
        <w:autoSpaceDE w:val="0"/>
        <w:autoSpaceDN w:val="0"/>
        <w:adjustRightInd w:val="0"/>
        <w:spacing w:line="360" w:lineRule="auto"/>
        <w:ind w:left="567"/>
      </w:pPr>
      <w:r>
        <w:rPr>
          <w:rFonts w:eastAsiaTheme="minorHAnsi"/>
          <w:lang w:eastAsia="en-US"/>
        </w:rPr>
        <w:t xml:space="preserve">7. OIB: </w:t>
      </w:r>
      <w:r w:rsidR="00D1782A">
        <w:t>62765405304</w:t>
      </w:r>
    </w:p>
    <w:p w:rsidR="00EE0718" w:rsidRDefault="00EE0718" w:rsidP="00EE2D56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 Razina: 22</w:t>
      </w:r>
      <w:r w:rsidR="00EE2D56">
        <w:rPr>
          <w:rFonts w:eastAsiaTheme="minorHAnsi"/>
          <w:lang w:eastAsia="en-US"/>
        </w:rPr>
        <w:t xml:space="preserve"> i 23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9. Razdjel: 000</w:t>
      </w:r>
    </w:p>
    <w:p w:rsidR="00EE0718" w:rsidRDefault="00EE0718" w:rsidP="00EE0718">
      <w:pPr>
        <w:autoSpaceDE w:val="0"/>
        <w:autoSpaceDN w:val="0"/>
        <w:adjustRightInd w:val="0"/>
        <w:spacing w:line="360" w:lineRule="auto"/>
        <w:ind w:left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 Šifra djelatnosti</w:t>
      </w:r>
      <w:r w:rsidR="00E4437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- NKD 2007: 8411</w:t>
      </w:r>
    </w:p>
    <w:p w:rsidR="00E9027E" w:rsidRDefault="00EE0718" w:rsidP="00E9027E">
      <w:pPr>
        <w:spacing w:line="360" w:lineRule="auto"/>
        <w:ind w:left="567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11. Razdoblje</w:t>
      </w:r>
      <w:r>
        <w:rPr>
          <w:rFonts w:eastAsiaTheme="minorHAnsi"/>
          <w:b/>
          <w:bCs/>
          <w:lang w:eastAsia="en-US"/>
        </w:rPr>
        <w:t xml:space="preserve">: 01. 01. </w:t>
      </w:r>
      <w:r>
        <w:rPr>
          <w:rFonts w:ascii="Times New Roman,Bold" w:eastAsiaTheme="minorHAnsi" w:hAnsi="Times New Roman,Bold" w:cs="Times New Roman,Bold"/>
          <w:b/>
          <w:bCs/>
          <w:lang w:eastAsia="en-US"/>
        </w:rPr>
        <w:t xml:space="preserve">– </w:t>
      </w:r>
      <w:r w:rsidR="002C3179">
        <w:rPr>
          <w:rFonts w:eastAsiaTheme="minorHAnsi"/>
          <w:b/>
          <w:bCs/>
          <w:lang w:eastAsia="en-US"/>
        </w:rPr>
        <w:t>31. 12. 201</w:t>
      </w:r>
      <w:r w:rsidR="00EE2D56">
        <w:rPr>
          <w:rFonts w:eastAsiaTheme="minorHAnsi"/>
          <w:b/>
          <w:bCs/>
          <w:lang w:eastAsia="en-US"/>
        </w:rPr>
        <w:t>7</w:t>
      </w:r>
      <w:r>
        <w:rPr>
          <w:rFonts w:eastAsiaTheme="minorHAnsi"/>
          <w:b/>
          <w:bCs/>
          <w:lang w:eastAsia="en-US"/>
        </w:rPr>
        <w:t>. godine</w:t>
      </w:r>
    </w:p>
    <w:p w:rsidR="00E9027E" w:rsidRDefault="00E9027E" w:rsidP="00E9027E">
      <w:pPr>
        <w:spacing w:line="360" w:lineRule="auto"/>
        <w:ind w:left="567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E9027E">
        <w:rPr>
          <w:rFonts w:eastAsiaTheme="minorHAnsi"/>
          <w:b/>
          <w:bCs/>
          <w:lang w:eastAsia="en-US"/>
        </w:rPr>
        <w:t>Popis zakonskih i podzakonskih akata koji se izravno odnose na financijsko izvještavanje:</w:t>
      </w:r>
    </w:p>
    <w:p w:rsidR="00B0629F" w:rsidRPr="00E9027E" w:rsidRDefault="00B0629F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>Zakon o proračunu</w:t>
      </w:r>
    </w:p>
    <w:p w:rsidR="00E9027E" w:rsidRDefault="00E9027E" w:rsidP="00E9027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 xml:space="preserve">Zakon o izvršavanju Državnog proračuna Republike Hrvatske za </w:t>
      </w:r>
      <w:r w:rsidR="002C3179">
        <w:rPr>
          <w:rFonts w:eastAsiaTheme="minorHAnsi"/>
          <w:lang w:eastAsia="en-US"/>
        </w:rPr>
        <w:t>201</w:t>
      </w:r>
      <w:r w:rsidR="00861F62">
        <w:rPr>
          <w:rFonts w:eastAsiaTheme="minorHAnsi"/>
          <w:lang w:eastAsia="en-US"/>
        </w:rPr>
        <w:t>7</w:t>
      </w:r>
      <w:r w:rsidRPr="00E9027E">
        <w:rPr>
          <w:rFonts w:eastAsiaTheme="minorHAnsi"/>
          <w:lang w:eastAsia="en-US"/>
        </w:rPr>
        <w:t>. godinu,</w:t>
      </w:r>
    </w:p>
    <w:p w:rsidR="00E9027E" w:rsidRDefault="00E9027E" w:rsidP="00E9027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>Pravilnik o proračunskom računovodstvu i računskom planu,</w:t>
      </w:r>
    </w:p>
    <w:p w:rsidR="00E9027E" w:rsidRPr="00E9027E" w:rsidRDefault="00E9027E" w:rsidP="00E9027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9027E">
        <w:rPr>
          <w:rFonts w:eastAsiaTheme="minorHAnsi"/>
          <w:lang w:eastAsia="en-US"/>
        </w:rPr>
        <w:t>Pravilnik o financijskom izvještavanju u proračunskom računovodstvu</w:t>
      </w:r>
      <w:r w:rsidR="00331CFE">
        <w:rPr>
          <w:rFonts w:eastAsiaTheme="minorHAnsi"/>
          <w:lang w:eastAsia="en-US"/>
        </w:rPr>
        <w:t>.</w:t>
      </w: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9027E" w:rsidRDefault="00E9027E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0629F">
        <w:rPr>
          <w:rFonts w:eastAsiaTheme="minorHAnsi"/>
          <w:b/>
          <w:bCs/>
          <w:lang w:eastAsia="en-US"/>
        </w:rPr>
        <w:t>Financiranje javnih rashoda izvršeno je na osnovi slijedećih financijsko planskih dokumenata :</w:t>
      </w:r>
    </w:p>
    <w:p w:rsidR="00B0629F" w:rsidRPr="00D1782A" w:rsidRDefault="00B0629F" w:rsidP="00E9027E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eastAsia="en-US"/>
        </w:rPr>
      </w:pPr>
    </w:p>
    <w:p w:rsidR="00E9027E" w:rsidRPr="00725DC7" w:rsidRDefault="00E9027E" w:rsidP="00E902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DC7">
        <w:rPr>
          <w:rFonts w:eastAsiaTheme="minorHAnsi"/>
          <w:lang w:eastAsia="en-US"/>
        </w:rPr>
        <w:t xml:space="preserve">Proračun Općine </w:t>
      </w:r>
      <w:r w:rsidR="00D1782A" w:rsidRPr="00725DC7">
        <w:rPr>
          <w:rFonts w:eastAsiaTheme="minorHAnsi"/>
          <w:lang w:eastAsia="en-US"/>
        </w:rPr>
        <w:t>Šodolovci</w:t>
      </w:r>
      <w:r w:rsidR="00861F62" w:rsidRPr="00725DC7">
        <w:rPr>
          <w:rFonts w:eastAsiaTheme="minorHAnsi"/>
          <w:lang w:eastAsia="en-US"/>
        </w:rPr>
        <w:t xml:space="preserve"> za 2017</w:t>
      </w:r>
      <w:r w:rsidR="00725DC7" w:rsidRPr="00725DC7">
        <w:rPr>
          <w:rFonts w:eastAsiaTheme="minorHAnsi"/>
          <w:lang w:eastAsia="en-US"/>
        </w:rPr>
        <w:t>. godinu (Službeni glasnik</w:t>
      </w:r>
      <w:r w:rsidRPr="00725DC7">
        <w:rPr>
          <w:rFonts w:eastAsiaTheme="minorHAnsi"/>
          <w:lang w:eastAsia="en-US"/>
        </w:rPr>
        <w:t xml:space="preserve"> Općine </w:t>
      </w:r>
      <w:r w:rsidR="00D1782A" w:rsidRPr="00725DC7">
        <w:rPr>
          <w:rFonts w:eastAsiaTheme="minorHAnsi"/>
          <w:lang w:eastAsia="en-US"/>
        </w:rPr>
        <w:t>Šodolovci</w:t>
      </w:r>
      <w:r w:rsidRPr="00725DC7">
        <w:rPr>
          <w:rFonts w:eastAsiaTheme="minorHAnsi"/>
          <w:lang w:eastAsia="en-US"/>
        </w:rPr>
        <w:t xml:space="preserve"> broj</w:t>
      </w:r>
      <w:r w:rsidR="00725DC7" w:rsidRPr="00725DC7">
        <w:rPr>
          <w:rFonts w:eastAsiaTheme="minorHAnsi"/>
          <w:lang w:eastAsia="en-US"/>
        </w:rPr>
        <w:t xml:space="preserve"> 7/16</w:t>
      </w:r>
      <w:r w:rsidRPr="00725DC7">
        <w:rPr>
          <w:rFonts w:eastAsiaTheme="minorHAnsi"/>
          <w:lang w:eastAsia="en-US"/>
        </w:rPr>
        <w:t>),</w:t>
      </w:r>
    </w:p>
    <w:p w:rsidR="00BA2647" w:rsidRPr="00725DC7" w:rsidRDefault="00E9027E" w:rsidP="00BA264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DC7">
        <w:rPr>
          <w:rFonts w:eastAsiaTheme="minorHAnsi"/>
          <w:lang w:eastAsia="en-US"/>
        </w:rPr>
        <w:t xml:space="preserve">Odluka o izvršavanju proračuna </w:t>
      </w:r>
      <w:r w:rsidR="0026487E" w:rsidRPr="00725DC7">
        <w:rPr>
          <w:rFonts w:eastAsiaTheme="minorHAnsi"/>
          <w:lang w:eastAsia="en-US"/>
        </w:rPr>
        <w:t xml:space="preserve">Općine </w:t>
      </w:r>
      <w:r w:rsidR="00D1782A" w:rsidRPr="00725DC7">
        <w:rPr>
          <w:rFonts w:eastAsiaTheme="minorHAnsi"/>
          <w:lang w:eastAsia="en-US"/>
        </w:rPr>
        <w:t>Šodolovci</w:t>
      </w:r>
      <w:r w:rsidR="0026487E" w:rsidRPr="00725DC7">
        <w:rPr>
          <w:rFonts w:eastAsiaTheme="minorHAnsi"/>
          <w:lang w:eastAsia="en-US"/>
        </w:rPr>
        <w:t xml:space="preserve"> za 201</w:t>
      </w:r>
      <w:r w:rsidR="00861F62" w:rsidRPr="00725DC7">
        <w:rPr>
          <w:rFonts w:eastAsiaTheme="minorHAnsi"/>
          <w:lang w:eastAsia="en-US"/>
        </w:rPr>
        <w:t>7</w:t>
      </w:r>
      <w:r w:rsidR="00B0629F" w:rsidRPr="00725DC7">
        <w:rPr>
          <w:rFonts w:eastAsiaTheme="minorHAnsi"/>
          <w:lang w:eastAsia="en-US"/>
        </w:rPr>
        <w:t xml:space="preserve">. godinu </w:t>
      </w:r>
      <w:r w:rsidR="00725DC7" w:rsidRPr="00725DC7">
        <w:rPr>
          <w:rFonts w:eastAsiaTheme="minorHAnsi"/>
          <w:lang w:eastAsia="en-US"/>
        </w:rPr>
        <w:t>(Službeni glasnik</w:t>
      </w:r>
      <w:r w:rsidR="00BA2647" w:rsidRPr="00725DC7">
        <w:rPr>
          <w:rFonts w:eastAsiaTheme="minorHAnsi"/>
          <w:lang w:eastAsia="en-US"/>
        </w:rPr>
        <w:t xml:space="preserve"> Općine </w:t>
      </w:r>
      <w:r w:rsidR="00D1782A" w:rsidRPr="00725DC7">
        <w:rPr>
          <w:rFonts w:eastAsiaTheme="minorHAnsi"/>
          <w:lang w:eastAsia="en-US"/>
        </w:rPr>
        <w:t>Šodolovci</w:t>
      </w:r>
      <w:r w:rsidR="00BA2647" w:rsidRPr="00725DC7">
        <w:rPr>
          <w:rFonts w:eastAsiaTheme="minorHAnsi"/>
          <w:lang w:eastAsia="en-US"/>
        </w:rPr>
        <w:t xml:space="preserve"> broj</w:t>
      </w:r>
      <w:r w:rsidR="00725DC7">
        <w:rPr>
          <w:rFonts w:eastAsiaTheme="minorHAnsi"/>
          <w:lang w:eastAsia="en-US"/>
        </w:rPr>
        <w:t xml:space="preserve"> </w:t>
      </w:r>
      <w:r w:rsidR="00725DC7" w:rsidRPr="00725DC7">
        <w:rPr>
          <w:rFonts w:eastAsiaTheme="minorHAnsi"/>
          <w:lang w:eastAsia="en-US"/>
        </w:rPr>
        <w:t>7/16</w:t>
      </w:r>
      <w:r w:rsidR="00BA2647" w:rsidRPr="00725DC7">
        <w:rPr>
          <w:rFonts w:eastAsiaTheme="minorHAnsi"/>
          <w:lang w:eastAsia="en-US"/>
        </w:rPr>
        <w:t>),</w:t>
      </w:r>
    </w:p>
    <w:p w:rsidR="00BA2647" w:rsidRPr="00725DC7" w:rsidRDefault="00E9027E" w:rsidP="00BA2647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25DC7">
        <w:rPr>
          <w:rFonts w:eastAsiaTheme="minorHAnsi"/>
          <w:lang w:eastAsia="en-US"/>
        </w:rPr>
        <w:t xml:space="preserve">I. Izmjene i dopune proračuna </w:t>
      </w:r>
      <w:r w:rsidR="0026487E" w:rsidRPr="00725DC7">
        <w:rPr>
          <w:rFonts w:eastAsiaTheme="minorHAnsi"/>
          <w:lang w:eastAsia="en-US"/>
        </w:rPr>
        <w:t xml:space="preserve">Općine </w:t>
      </w:r>
      <w:r w:rsidR="00D1782A" w:rsidRPr="00725DC7">
        <w:rPr>
          <w:rFonts w:eastAsiaTheme="minorHAnsi"/>
          <w:lang w:eastAsia="en-US"/>
        </w:rPr>
        <w:t>Šodolovci</w:t>
      </w:r>
      <w:r w:rsidR="0026487E" w:rsidRPr="00725DC7">
        <w:rPr>
          <w:rFonts w:eastAsiaTheme="minorHAnsi"/>
          <w:lang w:eastAsia="en-US"/>
        </w:rPr>
        <w:t xml:space="preserve"> za 201</w:t>
      </w:r>
      <w:r w:rsidR="00861F62" w:rsidRPr="00725DC7">
        <w:rPr>
          <w:rFonts w:eastAsiaTheme="minorHAnsi"/>
          <w:lang w:eastAsia="en-US"/>
        </w:rPr>
        <w:t>7</w:t>
      </w:r>
      <w:r w:rsidR="00B0629F" w:rsidRPr="00725DC7">
        <w:rPr>
          <w:rFonts w:eastAsiaTheme="minorHAnsi"/>
          <w:lang w:eastAsia="en-US"/>
        </w:rPr>
        <w:t xml:space="preserve">. godinu </w:t>
      </w:r>
      <w:r w:rsidR="00725DC7" w:rsidRPr="00725DC7">
        <w:rPr>
          <w:rFonts w:eastAsiaTheme="minorHAnsi"/>
          <w:lang w:eastAsia="en-US"/>
        </w:rPr>
        <w:t>(Službeni glasnik</w:t>
      </w:r>
      <w:r w:rsidR="00BA2647" w:rsidRPr="00725DC7">
        <w:rPr>
          <w:rFonts w:eastAsiaTheme="minorHAnsi"/>
          <w:lang w:eastAsia="en-US"/>
        </w:rPr>
        <w:t xml:space="preserve"> Općine </w:t>
      </w:r>
      <w:r w:rsidR="00D1782A" w:rsidRPr="00725DC7">
        <w:rPr>
          <w:rFonts w:eastAsiaTheme="minorHAnsi"/>
          <w:lang w:eastAsia="en-US"/>
        </w:rPr>
        <w:t>Šodolovci</w:t>
      </w:r>
      <w:r w:rsidR="00BA2647" w:rsidRPr="00725DC7">
        <w:rPr>
          <w:rFonts w:eastAsiaTheme="minorHAnsi"/>
          <w:lang w:eastAsia="en-US"/>
        </w:rPr>
        <w:t xml:space="preserve"> broj</w:t>
      </w:r>
      <w:r w:rsidR="00725DC7" w:rsidRPr="00725DC7">
        <w:rPr>
          <w:rFonts w:eastAsiaTheme="minorHAnsi"/>
          <w:lang w:eastAsia="en-US"/>
        </w:rPr>
        <w:t xml:space="preserve"> 1/18</w:t>
      </w:r>
      <w:r w:rsidR="00BA2647" w:rsidRPr="00725DC7">
        <w:rPr>
          <w:rFonts w:eastAsiaTheme="minorHAnsi"/>
          <w:lang w:eastAsia="en-US"/>
        </w:rPr>
        <w:t>),</w:t>
      </w:r>
    </w:p>
    <w:p w:rsidR="00BA2647" w:rsidRPr="00D1782A" w:rsidRDefault="00BA2647" w:rsidP="00725DC7">
      <w:pPr>
        <w:pStyle w:val="ListParagraph"/>
        <w:autoSpaceDE w:val="0"/>
        <w:autoSpaceDN w:val="0"/>
        <w:adjustRightInd w:val="0"/>
        <w:jc w:val="both"/>
        <w:rPr>
          <w:rFonts w:eastAsiaTheme="minorHAnsi"/>
          <w:color w:val="FF0000"/>
          <w:lang w:eastAsia="en-US"/>
        </w:rPr>
      </w:pPr>
    </w:p>
    <w:p w:rsidR="00B0629F" w:rsidRPr="00BA2647" w:rsidRDefault="00B0629F" w:rsidP="00BA2647">
      <w:pPr>
        <w:pStyle w:val="ListParagraph"/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C1F02" w:rsidRPr="009B38DC" w:rsidRDefault="00ED2BEA" w:rsidP="002C1F0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B38DC">
        <w:rPr>
          <w:rFonts w:eastAsiaTheme="minorHAnsi"/>
          <w:lang w:eastAsia="en-US"/>
        </w:rPr>
        <w:t>Sukladno Okružnici o predaji i konsolidaciji financijskih izvještaja proračuna, proračunskih i izvanproračunskih korisnika državnog proračuna te proračunskih i izvanproračunskih korisnika proračuna jedinica lokalne i područne ( regionalne ) samouprave za razdoblje od 1. siječnja do 31. prosinca 201</w:t>
      </w:r>
      <w:r w:rsidR="00861F62">
        <w:rPr>
          <w:rFonts w:eastAsiaTheme="minorHAnsi"/>
          <w:lang w:eastAsia="en-US"/>
        </w:rPr>
        <w:t>7</w:t>
      </w:r>
      <w:r w:rsidRPr="009B38DC">
        <w:rPr>
          <w:rFonts w:eastAsiaTheme="minorHAnsi"/>
          <w:lang w:eastAsia="en-US"/>
        </w:rPr>
        <w:t>. godine</w:t>
      </w:r>
      <w:r w:rsidR="009F415A">
        <w:rPr>
          <w:rFonts w:eastAsiaTheme="minorHAnsi"/>
          <w:lang w:eastAsia="en-US"/>
        </w:rPr>
        <w:t>,</w:t>
      </w:r>
      <w:r w:rsidRPr="009B38DC">
        <w:rPr>
          <w:rFonts w:eastAsiaTheme="minorHAnsi"/>
          <w:lang w:eastAsia="en-US"/>
        </w:rPr>
        <w:t xml:space="preserve"> Klasa: 400-0</w:t>
      </w:r>
      <w:r w:rsidR="00861F62">
        <w:rPr>
          <w:rFonts w:eastAsiaTheme="minorHAnsi"/>
          <w:lang w:eastAsia="en-US"/>
        </w:rPr>
        <w:t>2</w:t>
      </w:r>
      <w:r w:rsidRPr="009B38DC">
        <w:rPr>
          <w:rFonts w:eastAsiaTheme="minorHAnsi"/>
          <w:lang w:eastAsia="en-US"/>
        </w:rPr>
        <w:t>/1</w:t>
      </w:r>
      <w:r w:rsidR="00861F62">
        <w:rPr>
          <w:rFonts w:eastAsiaTheme="minorHAnsi"/>
          <w:lang w:eastAsia="en-US"/>
        </w:rPr>
        <w:t>7</w:t>
      </w:r>
      <w:r w:rsidRPr="009B38DC">
        <w:rPr>
          <w:rFonts w:eastAsiaTheme="minorHAnsi"/>
          <w:lang w:eastAsia="en-US"/>
        </w:rPr>
        <w:t>-01/</w:t>
      </w:r>
      <w:r w:rsidR="00861F62">
        <w:rPr>
          <w:rFonts w:eastAsiaTheme="minorHAnsi"/>
          <w:lang w:eastAsia="en-US"/>
        </w:rPr>
        <w:t>28</w:t>
      </w:r>
      <w:r w:rsidR="009F415A">
        <w:rPr>
          <w:rFonts w:eastAsiaTheme="minorHAnsi"/>
          <w:lang w:eastAsia="en-US"/>
        </w:rPr>
        <w:t>,</w:t>
      </w:r>
      <w:r w:rsidRPr="009B38DC">
        <w:rPr>
          <w:rFonts w:eastAsiaTheme="minorHAnsi"/>
          <w:lang w:eastAsia="en-US"/>
        </w:rPr>
        <w:t xml:space="preserve"> Urbroj: 513-05-0</w:t>
      </w:r>
      <w:r w:rsidR="00861F62">
        <w:rPr>
          <w:rFonts w:eastAsiaTheme="minorHAnsi"/>
          <w:lang w:eastAsia="en-US"/>
        </w:rPr>
        <w:t>3</w:t>
      </w:r>
      <w:r w:rsidRPr="009B38DC">
        <w:rPr>
          <w:rFonts w:eastAsiaTheme="minorHAnsi"/>
          <w:lang w:eastAsia="en-US"/>
        </w:rPr>
        <w:t>-1</w:t>
      </w:r>
      <w:r w:rsidR="00861F62">
        <w:rPr>
          <w:rFonts w:eastAsiaTheme="minorHAnsi"/>
          <w:lang w:eastAsia="en-US"/>
        </w:rPr>
        <w:t>8</w:t>
      </w:r>
      <w:r w:rsidRPr="009B38DC">
        <w:rPr>
          <w:rFonts w:eastAsiaTheme="minorHAnsi"/>
          <w:lang w:eastAsia="en-US"/>
        </w:rPr>
        <w:t>-</w:t>
      </w:r>
      <w:r w:rsidR="00861F62">
        <w:rPr>
          <w:rFonts w:eastAsiaTheme="minorHAnsi"/>
          <w:lang w:eastAsia="en-US"/>
        </w:rPr>
        <w:t>5</w:t>
      </w:r>
      <w:r w:rsidRPr="009B38DC">
        <w:rPr>
          <w:rFonts w:eastAsiaTheme="minorHAnsi"/>
          <w:lang w:eastAsia="en-US"/>
        </w:rPr>
        <w:t xml:space="preserve"> od </w:t>
      </w:r>
      <w:r w:rsidR="00861F62">
        <w:rPr>
          <w:rFonts w:eastAsiaTheme="minorHAnsi"/>
          <w:lang w:eastAsia="en-US"/>
        </w:rPr>
        <w:t>10</w:t>
      </w:r>
      <w:r w:rsidRPr="009B38DC">
        <w:rPr>
          <w:rFonts w:eastAsiaTheme="minorHAnsi"/>
          <w:lang w:eastAsia="en-US"/>
        </w:rPr>
        <w:t>. siječnja 201</w:t>
      </w:r>
      <w:r w:rsidR="002C1F02">
        <w:rPr>
          <w:rFonts w:eastAsiaTheme="minorHAnsi"/>
          <w:lang w:eastAsia="en-US"/>
        </w:rPr>
        <w:t>8</w:t>
      </w:r>
      <w:r w:rsidRPr="009B38DC">
        <w:rPr>
          <w:rFonts w:eastAsiaTheme="minorHAnsi"/>
          <w:lang w:eastAsia="en-US"/>
        </w:rPr>
        <w:t>. godine predaje se izvještaj razine 22 u zadanom roku do 15. veljače 201</w:t>
      </w:r>
      <w:r w:rsidR="002C1F02">
        <w:rPr>
          <w:rFonts w:eastAsiaTheme="minorHAnsi"/>
          <w:lang w:eastAsia="en-US"/>
        </w:rPr>
        <w:t>8</w:t>
      </w:r>
      <w:r w:rsidRPr="009B38DC">
        <w:rPr>
          <w:rFonts w:eastAsiaTheme="minorHAnsi"/>
          <w:lang w:eastAsia="en-US"/>
        </w:rPr>
        <w:t>. godine</w:t>
      </w:r>
      <w:r w:rsidR="002C1F02">
        <w:rPr>
          <w:rFonts w:eastAsiaTheme="minorHAnsi"/>
          <w:lang w:eastAsia="en-US"/>
        </w:rPr>
        <w:t xml:space="preserve">, te </w:t>
      </w:r>
      <w:r w:rsidR="002C1F02" w:rsidRPr="009B38DC">
        <w:rPr>
          <w:rFonts w:eastAsiaTheme="minorHAnsi"/>
          <w:lang w:eastAsia="en-US"/>
        </w:rPr>
        <w:t>izvještaj razine 2</w:t>
      </w:r>
      <w:r w:rsidR="002C1F02">
        <w:rPr>
          <w:rFonts w:eastAsiaTheme="minorHAnsi"/>
          <w:lang w:eastAsia="en-US"/>
        </w:rPr>
        <w:t xml:space="preserve">3 </w:t>
      </w:r>
      <w:r w:rsidR="002C1F02" w:rsidRPr="009B38DC">
        <w:rPr>
          <w:rFonts w:eastAsiaTheme="minorHAnsi"/>
          <w:lang w:eastAsia="en-US"/>
        </w:rPr>
        <w:t xml:space="preserve">u zadanom roku do </w:t>
      </w:r>
      <w:r w:rsidR="002C1F02">
        <w:rPr>
          <w:rFonts w:eastAsiaTheme="minorHAnsi"/>
          <w:lang w:eastAsia="en-US"/>
        </w:rPr>
        <w:t>28</w:t>
      </w:r>
      <w:r w:rsidR="002C1F02" w:rsidRPr="009B38DC">
        <w:rPr>
          <w:rFonts w:eastAsiaTheme="minorHAnsi"/>
          <w:lang w:eastAsia="en-US"/>
        </w:rPr>
        <w:t>. veljače 201</w:t>
      </w:r>
      <w:r w:rsidR="002C1F02">
        <w:rPr>
          <w:rFonts w:eastAsiaTheme="minorHAnsi"/>
          <w:lang w:eastAsia="en-US"/>
        </w:rPr>
        <w:t>8</w:t>
      </w:r>
      <w:r w:rsidR="002C1F02" w:rsidRPr="009B38DC">
        <w:rPr>
          <w:rFonts w:eastAsiaTheme="minorHAnsi"/>
          <w:lang w:eastAsia="en-US"/>
        </w:rPr>
        <w:t>. godine.</w:t>
      </w:r>
    </w:p>
    <w:p w:rsidR="00ED2BEA" w:rsidRPr="009B38DC" w:rsidRDefault="00ED2BEA" w:rsidP="00ED2B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0629F" w:rsidRDefault="00B0629F" w:rsidP="00B062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0629F" w:rsidRPr="00B0629F" w:rsidRDefault="00B0629F" w:rsidP="00B0629F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B0629F">
        <w:rPr>
          <w:rFonts w:eastAsiaTheme="minorHAnsi"/>
          <w:b/>
          <w:lang w:eastAsia="en-US"/>
        </w:rPr>
        <w:t>Sastavljen je set financijskih izvještaja :</w:t>
      </w:r>
    </w:p>
    <w:p w:rsidR="00B0629F" w:rsidRDefault="00B0629F" w:rsidP="00B062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Bilanca na Obrascu: BIL,</w:t>
      </w:r>
    </w:p>
    <w:p w:rsidR="00B0629F" w:rsidRDefault="00B0629F" w:rsidP="00B062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Izvještaj o prihodima i rashodima, primicima i izdacima na Obrascu: PR-RAS,</w:t>
      </w:r>
    </w:p>
    <w:p w:rsidR="00B0629F" w:rsidRDefault="00B0629F" w:rsidP="00B062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Izvještaj o rashodima prema funkcijskoj klasifikaciji na Obrascu: RAS-funkcijski,</w:t>
      </w:r>
    </w:p>
    <w:p w:rsidR="00B0629F" w:rsidRDefault="00B0629F" w:rsidP="00B062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Izvještaj o promjenama u vrijednosti i obujmu imovine i obveza na Obrascu: P-VRIO,</w:t>
      </w:r>
    </w:p>
    <w:p w:rsidR="00B0629F" w:rsidRDefault="00B0629F" w:rsidP="00B0629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Izvještaj o obvezama na Obrascu: OBVEZE.</w:t>
      </w:r>
    </w:p>
    <w:p w:rsidR="00B0629F" w:rsidRDefault="00B0629F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F415A" w:rsidRDefault="009F415A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0629F" w:rsidRPr="00B0629F" w:rsidRDefault="00B0629F" w:rsidP="00B0629F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E0718" w:rsidRPr="00B0629F" w:rsidRDefault="00EE0718" w:rsidP="00B0629F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B0629F">
        <w:rPr>
          <w:rFonts w:eastAsiaTheme="minorHAnsi"/>
          <w:b/>
          <w:bCs/>
          <w:lang w:eastAsia="en-US"/>
        </w:rPr>
        <w:t xml:space="preserve">II. BILJEŠKE UZ </w:t>
      </w:r>
      <w:r w:rsidR="00B0629F">
        <w:rPr>
          <w:rFonts w:eastAsiaTheme="minorHAnsi"/>
          <w:b/>
          <w:bCs/>
          <w:lang w:eastAsia="en-US"/>
        </w:rPr>
        <w:t>OBRAZAC BIL</w:t>
      </w:r>
    </w:p>
    <w:p w:rsidR="00A45F81" w:rsidRDefault="00A45F81" w:rsidP="00EE0718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B0629F" w:rsidRPr="00B0629F" w:rsidRDefault="00B0629F" w:rsidP="00B0629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0629F">
        <w:rPr>
          <w:rFonts w:eastAsiaTheme="minorHAnsi"/>
          <w:lang w:eastAsia="en-US"/>
        </w:rPr>
        <w:t>U Bilancu su uneseni podaci iz Glavne knjige. Jednakosti među pojedinim pozicijama Bilance proizlaze iz</w:t>
      </w:r>
      <w:r>
        <w:rPr>
          <w:rFonts w:eastAsiaTheme="minorHAnsi"/>
          <w:lang w:eastAsia="en-US"/>
        </w:rPr>
        <w:t xml:space="preserve"> </w:t>
      </w:r>
      <w:r w:rsidRPr="00B0629F">
        <w:rPr>
          <w:rFonts w:eastAsiaTheme="minorHAnsi"/>
          <w:lang w:eastAsia="en-US"/>
        </w:rPr>
        <w:t xml:space="preserve">propisanih knjigovodstvenih evidencija </w:t>
      </w:r>
      <w:r>
        <w:rPr>
          <w:rFonts w:eastAsiaTheme="minorHAnsi"/>
          <w:lang w:eastAsia="en-US"/>
        </w:rPr>
        <w:t>tako da AOP 001 Imovina = AOP 1</w:t>
      </w:r>
      <w:r w:rsidRPr="00B0629F"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>2</w:t>
      </w:r>
      <w:r w:rsidRPr="00B0629F">
        <w:rPr>
          <w:rFonts w:eastAsiaTheme="minorHAnsi"/>
          <w:lang w:eastAsia="en-US"/>
        </w:rPr>
        <w:t xml:space="preserve"> Obveze + Vlastiti izvori.</w:t>
      </w:r>
    </w:p>
    <w:p w:rsidR="00B0629F" w:rsidRDefault="00B0629F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E0718" w:rsidRDefault="00EE0718" w:rsidP="009F41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 ispravak vrijednosti dugotrajne imovine korištene su stope propisane prema važećem Pravilniku o računovodstvu i računskom planu za proračune.</w:t>
      </w:r>
    </w:p>
    <w:p w:rsidR="009F415A" w:rsidRDefault="009F415A" w:rsidP="009F415A">
      <w:pPr>
        <w:pStyle w:val="t-9-8"/>
        <w:spacing w:before="0" w:beforeAutospacing="0" w:after="0" w:afterAutospacing="0"/>
        <w:jc w:val="both"/>
      </w:pPr>
    </w:p>
    <w:p w:rsidR="009F415A" w:rsidRDefault="009F415A" w:rsidP="009F415A">
      <w:pPr>
        <w:pStyle w:val="t-9-8"/>
        <w:spacing w:before="0" w:beforeAutospacing="0" w:after="0" w:afterAutospacing="0"/>
        <w:jc w:val="both"/>
      </w:pPr>
      <w:r>
        <w:t>Nefinancijska imovina obuhvaća:</w:t>
      </w:r>
    </w:p>
    <w:p w:rsidR="009F415A" w:rsidRDefault="009F415A" w:rsidP="009F415A">
      <w:pPr>
        <w:pStyle w:val="t-9-8"/>
        <w:numPr>
          <w:ilvl w:val="0"/>
          <w:numId w:val="10"/>
        </w:numPr>
        <w:spacing w:before="0" w:beforeAutospacing="0" w:after="0" w:afterAutospacing="0"/>
        <w:jc w:val="both"/>
      </w:pPr>
      <w:r>
        <w:t>01 Neproizvedenu dugotrajnu imovinu,</w:t>
      </w:r>
    </w:p>
    <w:p w:rsidR="009F415A" w:rsidRDefault="009F415A" w:rsidP="009F415A">
      <w:pPr>
        <w:pStyle w:val="t-9-8"/>
        <w:numPr>
          <w:ilvl w:val="0"/>
          <w:numId w:val="10"/>
        </w:numPr>
        <w:spacing w:before="0" w:beforeAutospacing="0" w:after="0" w:afterAutospacing="0"/>
        <w:jc w:val="both"/>
      </w:pPr>
      <w:r>
        <w:t>02 Proizvedenu dugotrajnu imovinu,</w:t>
      </w:r>
    </w:p>
    <w:p w:rsidR="009F415A" w:rsidRDefault="009F415A" w:rsidP="009F415A">
      <w:pPr>
        <w:pStyle w:val="t-9-8"/>
        <w:numPr>
          <w:ilvl w:val="0"/>
          <w:numId w:val="10"/>
        </w:numPr>
        <w:spacing w:before="0" w:beforeAutospacing="0" w:after="0" w:afterAutospacing="0"/>
        <w:jc w:val="both"/>
      </w:pPr>
      <w:r>
        <w:t>03 Plemenite metale i ostale pohranjene vrijednosti,</w:t>
      </w:r>
    </w:p>
    <w:p w:rsidR="009F415A" w:rsidRDefault="009F415A" w:rsidP="009F415A">
      <w:pPr>
        <w:pStyle w:val="t-9-8"/>
        <w:numPr>
          <w:ilvl w:val="0"/>
          <w:numId w:val="10"/>
        </w:numPr>
        <w:spacing w:before="0" w:beforeAutospacing="0" w:after="0" w:afterAutospacing="0"/>
        <w:jc w:val="both"/>
      </w:pPr>
      <w:r>
        <w:t>04 Sitni inventar,</w:t>
      </w:r>
    </w:p>
    <w:p w:rsidR="009F415A" w:rsidRDefault="009F415A" w:rsidP="009F415A">
      <w:pPr>
        <w:pStyle w:val="t-9-8"/>
        <w:numPr>
          <w:ilvl w:val="0"/>
          <w:numId w:val="10"/>
        </w:numPr>
        <w:spacing w:before="0" w:beforeAutospacing="0" w:after="0" w:afterAutospacing="0"/>
        <w:jc w:val="both"/>
      </w:pPr>
      <w:r>
        <w:t>05 Dugotrajnu nefinancijsku imovinu u pripremi i</w:t>
      </w:r>
    </w:p>
    <w:p w:rsidR="009F415A" w:rsidRDefault="009F415A" w:rsidP="009F415A">
      <w:pPr>
        <w:pStyle w:val="t-9-8"/>
        <w:numPr>
          <w:ilvl w:val="0"/>
          <w:numId w:val="10"/>
        </w:numPr>
        <w:spacing w:before="0" w:beforeAutospacing="0" w:after="0" w:afterAutospacing="0"/>
        <w:jc w:val="both"/>
      </w:pPr>
      <w:r>
        <w:t>06 Proizvedenu kratkotrajnu imovinu.</w:t>
      </w:r>
    </w:p>
    <w:p w:rsidR="00EE0718" w:rsidRDefault="00EE0718" w:rsidP="009F41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415A" w:rsidRDefault="009F415A" w:rsidP="009F41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415A" w:rsidRDefault="009F415A" w:rsidP="009F41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415A" w:rsidRDefault="009F415A" w:rsidP="009F41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415A" w:rsidRDefault="009F415A" w:rsidP="009F41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F415A" w:rsidRDefault="009F415A" w:rsidP="009F415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460E" w:rsidRDefault="001A4BCD" w:rsidP="001A4B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BCD">
        <w:rPr>
          <w:rFonts w:eastAsiaTheme="minorHAnsi"/>
          <w:b/>
          <w:i/>
          <w:lang w:eastAsia="en-US"/>
        </w:rPr>
        <w:t xml:space="preserve">Bilješka uz AOP 002 </w:t>
      </w:r>
      <w:r w:rsidR="00EE0718" w:rsidRPr="001A4BCD">
        <w:rPr>
          <w:rFonts w:eastAsiaTheme="minorHAnsi"/>
          <w:b/>
          <w:i/>
          <w:lang w:eastAsia="en-US"/>
        </w:rPr>
        <w:t>Nefinancijska imovina</w:t>
      </w:r>
      <w:r>
        <w:rPr>
          <w:rFonts w:eastAsiaTheme="minorHAnsi"/>
          <w:lang w:eastAsia="en-US"/>
        </w:rPr>
        <w:t xml:space="preserve">: </w:t>
      </w:r>
      <w:r w:rsidR="00EE0718">
        <w:rPr>
          <w:rFonts w:eastAsiaTheme="minorHAnsi"/>
          <w:lang w:eastAsia="en-US"/>
        </w:rPr>
        <w:t xml:space="preserve">nije bilo značajnih </w:t>
      </w:r>
      <w:r>
        <w:rPr>
          <w:rFonts w:eastAsiaTheme="minorHAnsi"/>
          <w:lang w:eastAsia="en-US"/>
        </w:rPr>
        <w:t xml:space="preserve">odstupanja u odnosu na proteklu </w:t>
      </w:r>
      <w:r w:rsidR="00EE0718">
        <w:rPr>
          <w:rFonts w:eastAsiaTheme="minorHAnsi"/>
          <w:lang w:eastAsia="en-US"/>
        </w:rPr>
        <w:t>godinu.</w:t>
      </w:r>
      <w:r w:rsidR="00CA460E">
        <w:rPr>
          <w:rFonts w:eastAsiaTheme="minorHAnsi"/>
          <w:lang w:eastAsia="en-US"/>
        </w:rPr>
        <w:t xml:space="preserve"> Na AOP 002 prikazano je </w:t>
      </w:r>
      <w:r w:rsidR="0026487E">
        <w:rPr>
          <w:rFonts w:eastAsiaTheme="minorHAnsi"/>
          <w:lang w:eastAsia="en-US"/>
        </w:rPr>
        <w:t>povećanje</w:t>
      </w:r>
      <w:r w:rsidR="00CA460E">
        <w:rPr>
          <w:rFonts w:eastAsiaTheme="minorHAnsi"/>
          <w:lang w:eastAsia="en-US"/>
        </w:rPr>
        <w:t xml:space="preserve"> nefinancijske </w:t>
      </w:r>
      <w:r w:rsidR="006D4EC4">
        <w:rPr>
          <w:rFonts w:eastAsiaTheme="minorHAnsi"/>
          <w:lang w:eastAsia="en-US"/>
        </w:rPr>
        <w:t xml:space="preserve">imovine na dan 31. </w:t>
      </w:r>
      <w:r w:rsidR="006D4EC4" w:rsidRPr="00B63309">
        <w:rPr>
          <w:rFonts w:eastAsiaTheme="minorHAnsi"/>
          <w:lang w:eastAsia="en-US"/>
        </w:rPr>
        <w:t>prosinca 201</w:t>
      </w:r>
      <w:r w:rsidR="009F415A">
        <w:rPr>
          <w:rFonts w:eastAsiaTheme="minorHAnsi"/>
          <w:lang w:eastAsia="en-US"/>
        </w:rPr>
        <w:t>7</w:t>
      </w:r>
      <w:r w:rsidR="00CA460E" w:rsidRPr="00B63309">
        <w:rPr>
          <w:rFonts w:eastAsiaTheme="minorHAnsi"/>
          <w:lang w:eastAsia="en-US"/>
        </w:rPr>
        <w:t>. godine u odnosu na 01. siječnj</w:t>
      </w:r>
      <w:r w:rsidR="005C4D64" w:rsidRPr="00B63309">
        <w:rPr>
          <w:rFonts w:eastAsiaTheme="minorHAnsi"/>
          <w:lang w:eastAsia="en-US"/>
        </w:rPr>
        <w:t>a</w:t>
      </w:r>
      <w:r w:rsidR="00CA460E" w:rsidRPr="00B63309">
        <w:rPr>
          <w:rFonts w:eastAsiaTheme="minorHAnsi"/>
          <w:lang w:eastAsia="en-US"/>
        </w:rPr>
        <w:t xml:space="preserve"> iste godine za </w:t>
      </w:r>
      <w:r w:rsidR="008F4CF1">
        <w:rPr>
          <w:rFonts w:eastAsiaTheme="minorHAnsi"/>
          <w:lang w:eastAsia="en-US"/>
        </w:rPr>
        <w:t>17,80</w:t>
      </w:r>
      <w:r w:rsidR="00CA460E" w:rsidRPr="00B63309">
        <w:rPr>
          <w:rFonts w:eastAsiaTheme="minorHAnsi"/>
          <w:lang w:eastAsia="en-US"/>
        </w:rPr>
        <w:t xml:space="preserve"> %</w:t>
      </w:r>
      <w:r w:rsidR="00BC615A">
        <w:rPr>
          <w:rFonts w:eastAsiaTheme="minorHAnsi"/>
          <w:lang w:eastAsia="en-US"/>
        </w:rPr>
        <w:t xml:space="preserve">. </w:t>
      </w:r>
      <w:r w:rsidR="00CA460E" w:rsidRPr="00B63309">
        <w:rPr>
          <w:rFonts w:eastAsiaTheme="minorHAnsi"/>
          <w:lang w:eastAsia="en-US"/>
        </w:rPr>
        <w:t xml:space="preserve"> </w:t>
      </w:r>
    </w:p>
    <w:p w:rsidR="00BC615A" w:rsidRDefault="00BC615A" w:rsidP="001A4B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C615A" w:rsidRPr="00B63309" w:rsidRDefault="00BC615A" w:rsidP="001A4BC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2067">
        <w:rPr>
          <w:rFonts w:eastAsiaTheme="minorHAnsi"/>
          <w:b/>
          <w:i/>
          <w:lang w:eastAsia="en-US"/>
        </w:rPr>
        <w:t>Bilješka uz AOP 00</w:t>
      </w:r>
      <w:r>
        <w:rPr>
          <w:rFonts w:eastAsiaTheme="minorHAnsi"/>
          <w:b/>
          <w:i/>
          <w:lang w:eastAsia="en-US"/>
        </w:rPr>
        <w:t>3</w:t>
      </w:r>
      <w:r w:rsidRPr="00D02067">
        <w:rPr>
          <w:rFonts w:eastAsiaTheme="minorHAnsi"/>
          <w:b/>
          <w:i/>
          <w:lang w:eastAsia="en-US"/>
        </w:rPr>
        <w:t xml:space="preserve">: </w:t>
      </w:r>
      <w:r w:rsidR="008F4CF1">
        <w:rPr>
          <w:rFonts w:eastAsiaTheme="minorHAnsi"/>
          <w:lang w:eastAsia="en-US"/>
        </w:rPr>
        <w:t xml:space="preserve">Najznačajnija odstupanja u okviru nefinancijske imovine zabilježena su </w:t>
      </w:r>
      <w:r>
        <w:rPr>
          <w:rFonts w:eastAsiaTheme="minorHAnsi"/>
          <w:lang w:eastAsia="en-US"/>
        </w:rPr>
        <w:t xml:space="preserve"> na </w:t>
      </w:r>
      <w:r w:rsidR="008F4CF1">
        <w:rPr>
          <w:rFonts w:eastAsiaTheme="minorHAnsi"/>
          <w:lang w:eastAsia="en-US"/>
        </w:rPr>
        <w:t xml:space="preserve">stavci </w:t>
      </w:r>
      <w:r>
        <w:rPr>
          <w:rFonts w:eastAsiaTheme="minorHAnsi"/>
          <w:lang w:eastAsia="en-US"/>
        </w:rPr>
        <w:t>materijaln</w:t>
      </w:r>
      <w:r w:rsidR="008F4CF1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imovin</w:t>
      </w:r>
      <w:r w:rsidR="008F4CF1">
        <w:rPr>
          <w:rFonts w:eastAsiaTheme="minorHAnsi"/>
          <w:lang w:eastAsia="en-US"/>
        </w:rPr>
        <w:t>e</w:t>
      </w:r>
      <w:r>
        <w:rPr>
          <w:rFonts w:eastAsiaTheme="minorHAnsi"/>
          <w:lang w:eastAsia="en-US"/>
        </w:rPr>
        <w:t xml:space="preserve"> – prirodna bogatstva. Navedeno povećanje rezultat je ugovora o kupoprodaji nekretnin</w:t>
      </w:r>
      <w:r w:rsidR="008F4CF1">
        <w:rPr>
          <w:rFonts w:eastAsiaTheme="minorHAnsi"/>
          <w:lang w:eastAsia="en-US"/>
        </w:rPr>
        <w:t>a</w:t>
      </w:r>
      <w:r w:rsidR="00C1257F">
        <w:rPr>
          <w:rFonts w:eastAsiaTheme="minorHAnsi"/>
          <w:lang w:eastAsia="en-US"/>
        </w:rPr>
        <w:t>.</w:t>
      </w:r>
    </w:p>
    <w:p w:rsidR="00B0629F" w:rsidRDefault="00B0629F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5178F" w:rsidRDefault="00331CFE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02067">
        <w:rPr>
          <w:rFonts w:eastAsiaTheme="minorHAnsi"/>
          <w:b/>
          <w:i/>
          <w:lang w:eastAsia="en-US"/>
        </w:rPr>
        <w:t>Bilješka uz AOP 00</w:t>
      </w:r>
      <w:r w:rsidR="00C1257F">
        <w:rPr>
          <w:rFonts w:eastAsiaTheme="minorHAnsi"/>
          <w:b/>
          <w:i/>
          <w:lang w:eastAsia="en-US"/>
        </w:rPr>
        <w:t>7</w:t>
      </w:r>
      <w:r w:rsidRPr="00D02067">
        <w:rPr>
          <w:rFonts w:eastAsiaTheme="minorHAnsi"/>
          <w:b/>
          <w:i/>
          <w:lang w:eastAsia="en-US"/>
        </w:rPr>
        <w:t xml:space="preserve">: </w:t>
      </w:r>
      <w:r w:rsidR="00C1257F">
        <w:rPr>
          <w:rFonts w:eastAsiaTheme="minorHAnsi"/>
          <w:lang w:eastAsia="en-US"/>
        </w:rPr>
        <w:t xml:space="preserve">Proizvedena dugotrajna imovina kao sljedeća skupina nefinancijske imovine bilježi </w:t>
      </w:r>
      <w:r w:rsidR="008F4CF1">
        <w:rPr>
          <w:rFonts w:eastAsiaTheme="minorHAnsi"/>
          <w:lang w:eastAsia="en-US"/>
        </w:rPr>
        <w:t>porast</w:t>
      </w:r>
      <w:r w:rsidR="00C1257F">
        <w:rPr>
          <w:rFonts w:eastAsiaTheme="minorHAnsi"/>
          <w:lang w:eastAsia="en-US"/>
        </w:rPr>
        <w:t xml:space="preserve"> u odnosu na isto prošlogodišnje razdoblje i to za </w:t>
      </w:r>
      <w:r w:rsidR="008F4CF1">
        <w:rPr>
          <w:rFonts w:eastAsiaTheme="minorHAnsi"/>
          <w:lang w:eastAsia="en-US"/>
        </w:rPr>
        <w:t>11,60</w:t>
      </w:r>
      <w:r w:rsidR="00C1257F">
        <w:rPr>
          <w:rFonts w:eastAsiaTheme="minorHAnsi"/>
          <w:lang w:eastAsia="en-US"/>
        </w:rPr>
        <w:t xml:space="preserve"> %. </w:t>
      </w:r>
    </w:p>
    <w:p w:rsidR="0055178F" w:rsidRDefault="0055178F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257F" w:rsidRDefault="00C1257F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5178F">
        <w:rPr>
          <w:rFonts w:eastAsiaTheme="minorHAnsi"/>
          <w:i/>
          <w:lang w:eastAsia="en-US"/>
        </w:rPr>
        <w:t>Građevinski objekti</w:t>
      </w:r>
      <w:r>
        <w:rPr>
          <w:rFonts w:eastAsiaTheme="minorHAnsi"/>
          <w:lang w:eastAsia="en-US"/>
        </w:rPr>
        <w:t xml:space="preserve"> kao podskupina proizvedene dugotrajne imovine bilježe </w:t>
      </w:r>
      <w:r w:rsidR="008F4CF1">
        <w:rPr>
          <w:rFonts w:eastAsiaTheme="minorHAnsi"/>
          <w:lang w:eastAsia="en-US"/>
        </w:rPr>
        <w:t>porast za 6,60</w:t>
      </w:r>
      <w:r>
        <w:rPr>
          <w:rFonts w:eastAsiaTheme="minorHAnsi"/>
          <w:lang w:eastAsia="en-US"/>
        </w:rPr>
        <w:t xml:space="preserve"> %. Navedeno </w:t>
      </w:r>
      <w:r w:rsidR="008F4CF1">
        <w:rPr>
          <w:rFonts w:eastAsiaTheme="minorHAnsi"/>
          <w:lang w:eastAsia="en-US"/>
        </w:rPr>
        <w:t>povećanje</w:t>
      </w:r>
      <w:r>
        <w:rPr>
          <w:rFonts w:eastAsiaTheme="minorHAnsi"/>
          <w:lang w:eastAsia="en-US"/>
        </w:rPr>
        <w:t xml:space="preserve"> u odnosu na prošlogodišnje razdoblje prvenstveno se odnosi na </w:t>
      </w:r>
      <w:r w:rsidR="008F4CF1">
        <w:rPr>
          <w:rFonts w:eastAsiaTheme="minorHAnsi"/>
          <w:lang w:eastAsia="en-US"/>
        </w:rPr>
        <w:t xml:space="preserve">rekonstrukciju društvenog doma, izgradnji dječjeg rekreacijskog centra u naselju palača, nabavi autobusnih stajališta i slično. </w:t>
      </w:r>
    </w:p>
    <w:p w:rsidR="00C1257F" w:rsidRDefault="00C1257F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93A6D" w:rsidRDefault="00C93A6D" w:rsidP="00C93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Postrojenja i oprema</w:t>
      </w:r>
      <w:r>
        <w:rPr>
          <w:rFonts w:eastAsiaTheme="minorHAnsi"/>
          <w:lang w:eastAsia="en-US"/>
        </w:rPr>
        <w:t xml:space="preserve"> kao </w:t>
      </w:r>
      <w:r w:rsidR="0050406E">
        <w:rPr>
          <w:rFonts w:eastAsiaTheme="minorHAnsi"/>
          <w:lang w:eastAsia="en-US"/>
        </w:rPr>
        <w:t xml:space="preserve">sljedeća </w:t>
      </w:r>
      <w:r>
        <w:rPr>
          <w:rFonts w:eastAsiaTheme="minorHAnsi"/>
          <w:lang w:eastAsia="en-US"/>
        </w:rPr>
        <w:t xml:space="preserve">podskupina proizvedene dugotrajne imovine bilježi porast od </w:t>
      </w:r>
      <w:r w:rsidR="008F4CF1">
        <w:rPr>
          <w:rFonts w:eastAsiaTheme="minorHAnsi"/>
          <w:lang w:eastAsia="en-US"/>
        </w:rPr>
        <w:t>više od pet puta.</w:t>
      </w:r>
      <w:r>
        <w:rPr>
          <w:rFonts w:eastAsiaTheme="minorHAnsi"/>
          <w:lang w:eastAsia="en-US"/>
        </w:rPr>
        <w:t xml:space="preserve"> Navedeno povećanje u odnosu na prošlogodišnje razdoblje prvenstveno se odnosi na nabavu opreme za održavanje i zaštitu </w:t>
      </w:r>
      <w:r w:rsidR="008318B3">
        <w:rPr>
          <w:rFonts w:eastAsiaTheme="minorHAnsi"/>
          <w:lang w:eastAsia="en-US"/>
        </w:rPr>
        <w:t>(kante za smeće) te opremanju dječjih igrališta.</w:t>
      </w:r>
    </w:p>
    <w:p w:rsidR="0050406E" w:rsidRDefault="0050406E" w:rsidP="00C93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318B3" w:rsidRDefault="008318B3" w:rsidP="00C93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Višegodišnji nasadi</w:t>
      </w:r>
      <w:r>
        <w:rPr>
          <w:rFonts w:eastAsiaTheme="minorHAnsi"/>
          <w:lang w:eastAsia="en-US"/>
        </w:rPr>
        <w:t xml:space="preserve"> kao sljedeća podskupina proizvedene dugotrajne imovine bilježi porast od više od dva puta u odnosu na prethodno izvještajno razdoblje. Navedeno povećanje u odnosu na prošlogodišnje razdoblje prvenstveno se odnosi na kupnju sadnica i ozelenjavanju javnih površina.</w:t>
      </w:r>
    </w:p>
    <w:p w:rsidR="008318B3" w:rsidRDefault="008318B3" w:rsidP="00C93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0406E" w:rsidRDefault="0050406E" w:rsidP="005040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Nematerijalna proizvedena imovina</w:t>
      </w:r>
      <w:r>
        <w:rPr>
          <w:rFonts w:eastAsiaTheme="minorHAnsi"/>
          <w:lang w:eastAsia="en-US"/>
        </w:rPr>
        <w:t xml:space="preserve"> kao sljedeća podskupina proizvedene dugotrajne imovine bilježi porast od </w:t>
      </w:r>
      <w:r w:rsidR="008318B3">
        <w:rPr>
          <w:rFonts w:eastAsiaTheme="minorHAnsi"/>
          <w:lang w:eastAsia="en-US"/>
        </w:rPr>
        <w:t>49,90</w:t>
      </w:r>
      <w:r>
        <w:rPr>
          <w:rFonts w:eastAsiaTheme="minorHAnsi"/>
          <w:lang w:eastAsia="en-US"/>
        </w:rPr>
        <w:t xml:space="preserve"> %. Navedeno povećanje u odnosu na prošlogodišnje razdoblje prvenstveno se odnosi na ulaganja u računalne programe odnosno nabavu računovodstvenog programa</w:t>
      </w:r>
      <w:r w:rsidR="008318B3">
        <w:rPr>
          <w:rFonts w:eastAsiaTheme="minorHAnsi"/>
          <w:lang w:eastAsia="en-US"/>
        </w:rPr>
        <w:t>, te izradu projektnih dokumentacija</w:t>
      </w:r>
      <w:r>
        <w:rPr>
          <w:rFonts w:eastAsiaTheme="minorHAnsi"/>
          <w:lang w:eastAsia="en-US"/>
        </w:rPr>
        <w:t>.</w:t>
      </w:r>
    </w:p>
    <w:p w:rsidR="0050406E" w:rsidRDefault="0050406E" w:rsidP="00C93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0406E" w:rsidRDefault="0050406E" w:rsidP="005040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Sitni inventar</w:t>
      </w:r>
      <w:r>
        <w:rPr>
          <w:rFonts w:eastAsiaTheme="minorHAnsi"/>
          <w:lang w:eastAsia="en-US"/>
        </w:rPr>
        <w:t xml:space="preserve"> bilježi porast od </w:t>
      </w:r>
      <w:r w:rsidR="008318B3">
        <w:rPr>
          <w:rFonts w:eastAsiaTheme="minorHAnsi"/>
          <w:lang w:eastAsia="en-US"/>
        </w:rPr>
        <w:t>5,90</w:t>
      </w:r>
      <w:r>
        <w:rPr>
          <w:rFonts w:eastAsiaTheme="minorHAnsi"/>
          <w:lang w:eastAsia="en-US"/>
        </w:rPr>
        <w:t xml:space="preserve"> %. Navedeno povećanje u odnosu na prošlogodišnje razdoblje prvenstveno se odnosi na </w:t>
      </w:r>
      <w:r w:rsidR="008318B3">
        <w:rPr>
          <w:rFonts w:eastAsiaTheme="minorHAnsi"/>
          <w:lang w:eastAsia="en-US"/>
        </w:rPr>
        <w:t>nabavu opreme za redovito poslovanje i opremanje općinske zgrade</w:t>
      </w:r>
      <w:r>
        <w:rPr>
          <w:rFonts w:eastAsiaTheme="minorHAnsi"/>
          <w:lang w:eastAsia="en-US"/>
        </w:rPr>
        <w:t>.</w:t>
      </w:r>
    </w:p>
    <w:p w:rsidR="0050406E" w:rsidRDefault="0050406E" w:rsidP="00C93A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0406E" w:rsidRDefault="0050406E" w:rsidP="005040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i/>
          <w:lang w:eastAsia="en-US"/>
        </w:rPr>
        <w:t>Dugotrajna nefinancijska imovina u pripremi</w:t>
      </w:r>
      <w:r>
        <w:rPr>
          <w:rFonts w:eastAsiaTheme="minorHAnsi"/>
          <w:lang w:eastAsia="en-US"/>
        </w:rPr>
        <w:t xml:space="preserve"> kao sljedeća podskupina proizvedene dugotrajne imovine bilježi porast od </w:t>
      </w:r>
      <w:r w:rsidR="008318B3">
        <w:rPr>
          <w:rFonts w:eastAsiaTheme="minorHAnsi"/>
          <w:lang w:eastAsia="en-US"/>
        </w:rPr>
        <w:t>64,20</w:t>
      </w:r>
      <w:r>
        <w:rPr>
          <w:rFonts w:eastAsiaTheme="minorHAnsi"/>
          <w:lang w:eastAsia="en-US"/>
        </w:rPr>
        <w:t xml:space="preserve"> %. Na navedenoj stavci prikazane su investicije koje nisu dovršene u izvještajnom razdoblju. Među vrijednosno najznačajnije investicije potrebno je spomenuti izgradnju </w:t>
      </w:r>
      <w:r w:rsidR="008318B3">
        <w:rPr>
          <w:rFonts w:eastAsiaTheme="minorHAnsi"/>
          <w:lang w:eastAsia="en-US"/>
        </w:rPr>
        <w:t>sustava vodoopskrbe.</w:t>
      </w:r>
    </w:p>
    <w:p w:rsidR="00C93A6D" w:rsidRDefault="00C93A6D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8590A" w:rsidRPr="0088590A" w:rsidRDefault="0088590A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2711" w:rsidRDefault="00CA460E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Bilješka uz AOP 063</w:t>
      </w:r>
      <w:r w:rsidRPr="001A4BCD">
        <w:rPr>
          <w:rFonts w:eastAsiaTheme="minorHAnsi"/>
          <w:b/>
          <w:i/>
          <w:lang w:eastAsia="en-US"/>
        </w:rPr>
        <w:t xml:space="preserve"> </w:t>
      </w:r>
      <w:r>
        <w:rPr>
          <w:rFonts w:eastAsiaTheme="minorHAnsi"/>
          <w:b/>
          <w:i/>
          <w:lang w:eastAsia="en-US"/>
        </w:rPr>
        <w:t>F</w:t>
      </w:r>
      <w:r w:rsidRPr="001A4BCD">
        <w:rPr>
          <w:rFonts w:eastAsiaTheme="minorHAnsi"/>
          <w:b/>
          <w:i/>
          <w:lang w:eastAsia="en-US"/>
        </w:rPr>
        <w:t>inancijska imovina</w:t>
      </w:r>
      <w:r>
        <w:rPr>
          <w:rFonts w:eastAsiaTheme="minorHAnsi"/>
          <w:lang w:eastAsia="en-US"/>
        </w:rPr>
        <w:t xml:space="preserve">: stanje na poziciji </w:t>
      </w:r>
      <w:r w:rsidR="006C104F">
        <w:rPr>
          <w:rFonts w:eastAsiaTheme="minorHAnsi"/>
          <w:lang w:eastAsia="en-US"/>
        </w:rPr>
        <w:t>AOP 063 na dan 31. prosinca 201</w:t>
      </w:r>
      <w:r w:rsidR="00D9096D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godine prikazuje pad od </w:t>
      </w:r>
      <w:r w:rsidR="008318B3">
        <w:rPr>
          <w:rFonts w:eastAsiaTheme="minorHAnsi"/>
          <w:lang w:eastAsia="en-US"/>
        </w:rPr>
        <w:t>4,40</w:t>
      </w:r>
      <w:r>
        <w:rPr>
          <w:rFonts w:eastAsiaTheme="minorHAnsi"/>
          <w:lang w:eastAsia="en-US"/>
        </w:rPr>
        <w:t xml:space="preserve"> % u odnosu na</w:t>
      </w:r>
      <w:r w:rsidR="006C104F">
        <w:rPr>
          <w:rFonts w:eastAsiaTheme="minorHAnsi"/>
          <w:lang w:eastAsia="en-US"/>
        </w:rPr>
        <w:t xml:space="preserve"> stanje na dan 01. siječnja 201</w:t>
      </w:r>
      <w:r w:rsidR="00D9096D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godine. </w:t>
      </w:r>
    </w:p>
    <w:p w:rsidR="00DE2711" w:rsidRDefault="00DE2711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096D" w:rsidRDefault="00D9096D" w:rsidP="00D9096D">
      <w:pPr>
        <w:pStyle w:val="t-9-8"/>
        <w:spacing w:before="0" w:beforeAutospacing="0" w:after="0" w:afterAutospacing="0"/>
        <w:jc w:val="both"/>
      </w:pPr>
      <w:r>
        <w:t>Financijska imovina sastoji se od:</w:t>
      </w:r>
    </w:p>
    <w:p w:rsidR="00D9096D" w:rsidRDefault="00D9096D" w:rsidP="00D9096D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t>11 Novca u banci i blagajni,</w:t>
      </w:r>
    </w:p>
    <w:p w:rsidR="00D9096D" w:rsidRDefault="00D9096D" w:rsidP="00D9096D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t>12 Depozita, jamčevnih pologa i potraživanja od zaposlenih te za više plaćene poreze i ostalo,</w:t>
      </w:r>
    </w:p>
    <w:p w:rsidR="008318B3" w:rsidRDefault="008318B3" w:rsidP="008318B3">
      <w:pPr>
        <w:pStyle w:val="t-9-8"/>
        <w:spacing w:before="0" w:beforeAutospacing="0" w:after="0" w:afterAutospacing="0"/>
        <w:ind w:left="720"/>
        <w:jc w:val="both"/>
      </w:pPr>
    </w:p>
    <w:p w:rsidR="00D9096D" w:rsidRDefault="00D9096D" w:rsidP="00D9096D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lastRenderedPageBreak/>
        <w:t>13 Potraživanja za dane zajmova,</w:t>
      </w:r>
    </w:p>
    <w:p w:rsidR="00D9096D" w:rsidRDefault="00D9096D" w:rsidP="00D9096D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t>14 Vrijednosnih papira,</w:t>
      </w:r>
    </w:p>
    <w:p w:rsidR="00D9096D" w:rsidRDefault="00D9096D" w:rsidP="00D9096D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t>15 Dionica i udjela u glavnici,</w:t>
      </w:r>
    </w:p>
    <w:p w:rsidR="00D9096D" w:rsidRDefault="00D9096D" w:rsidP="00D9096D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t>16 Potraživanja za prihode poslovanja,</w:t>
      </w:r>
    </w:p>
    <w:p w:rsidR="00D9096D" w:rsidRDefault="00D9096D" w:rsidP="008318B3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t>17 Potraživanja od prodaje nefinancijske imovine i</w:t>
      </w:r>
    </w:p>
    <w:p w:rsidR="00D9096D" w:rsidRDefault="00D9096D" w:rsidP="00D9096D">
      <w:pPr>
        <w:pStyle w:val="t-9-8"/>
        <w:numPr>
          <w:ilvl w:val="0"/>
          <w:numId w:val="11"/>
        </w:numPr>
        <w:spacing w:before="0" w:beforeAutospacing="0" w:after="0" w:afterAutospacing="0"/>
        <w:jc w:val="both"/>
      </w:pPr>
      <w:r>
        <w:t>19 Rashoda budućih razdoblja i nedospjele naplate prihoda (aktivna vremenska razgraničenja).</w:t>
      </w:r>
    </w:p>
    <w:p w:rsidR="00D9096D" w:rsidRDefault="00D9096D" w:rsidP="00D909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460E" w:rsidRDefault="00CA460E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Do većih odstupanja u okviru Finan</w:t>
      </w:r>
      <w:r w:rsidR="00101E21">
        <w:rPr>
          <w:rFonts w:eastAsiaTheme="minorHAnsi"/>
          <w:lang w:eastAsia="en-US"/>
        </w:rPr>
        <w:t>cijske imovine prikazuje AOP 064</w:t>
      </w:r>
      <w:r>
        <w:rPr>
          <w:rFonts w:eastAsiaTheme="minorHAnsi"/>
          <w:lang w:eastAsia="en-US"/>
        </w:rPr>
        <w:t xml:space="preserve"> iz kojeg je vidljivo da novčana sredstva na kraju izvještajne godine </w:t>
      </w:r>
      <w:r w:rsidR="008318B3">
        <w:rPr>
          <w:rFonts w:eastAsiaTheme="minorHAnsi"/>
          <w:lang w:eastAsia="en-US"/>
        </w:rPr>
        <w:t>veća</w:t>
      </w:r>
      <w:r w:rsidR="003733F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su u </w:t>
      </w:r>
      <w:r w:rsidR="003733F3">
        <w:rPr>
          <w:rFonts w:eastAsiaTheme="minorHAnsi"/>
          <w:lang w:eastAsia="en-US"/>
        </w:rPr>
        <w:t xml:space="preserve">odnosu na početak godine za </w:t>
      </w:r>
      <w:r w:rsidR="008318B3">
        <w:rPr>
          <w:rFonts w:eastAsiaTheme="minorHAnsi"/>
          <w:lang w:eastAsia="en-US"/>
        </w:rPr>
        <w:t>17,90</w:t>
      </w:r>
      <w:r>
        <w:rPr>
          <w:rFonts w:eastAsiaTheme="minorHAnsi"/>
          <w:lang w:eastAsia="en-US"/>
        </w:rPr>
        <w:t xml:space="preserve"> %. Novčana sredstva u banci i blagajni iznose</w:t>
      </w:r>
      <w:r w:rsidR="00D9096D">
        <w:rPr>
          <w:rFonts w:eastAsiaTheme="minorHAnsi"/>
          <w:lang w:eastAsia="en-US"/>
        </w:rPr>
        <w:t xml:space="preserve"> </w:t>
      </w:r>
      <w:r w:rsidR="008318B3">
        <w:rPr>
          <w:rFonts w:eastAsiaTheme="minorHAnsi"/>
          <w:lang w:eastAsia="en-US"/>
        </w:rPr>
        <w:t>1.393.295</w:t>
      </w:r>
      <w:r>
        <w:rPr>
          <w:rFonts w:eastAsiaTheme="minorHAnsi"/>
          <w:lang w:eastAsia="en-US"/>
        </w:rPr>
        <w:t xml:space="preserve"> kn i odgovaraju stanju prema izvodu žiro računa i saldu bl</w:t>
      </w:r>
      <w:r w:rsidR="003733F3">
        <w:rPr>
          <w:rFonts w:eastAsiaTheme="minorHAnsi"/>
          <w:lang w:eastAsia="en-US"/>
        </w:rPr>
        <w:t>agajne na  dan 31. prosinca 201</w:t>
      </w:r>
      <w:r w:rsidR="00D9096D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godine.</w:t>
      </w:r>
    </w:p>
    <w:p w:rsidR="00CA460E" w:rsidRDefault="00CA460E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9096D" w:rsidRDefault="00101E21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9096D">
        <w:rPr>
          <w:rFonts w:eastAsiaTheme="minorHAnsi"/>
          <w:b/>
          <w:i/>
          <w:lang w:eastAsia="en-US"/>
        </w:rPr>
        <w:t>AOP 14</w:t>
      </w:r>
      <w:r w:rsidR="00DE2711" w:rsidRPr="00D9096D">
        <w:rPr>
          <w:rFonts w:eastAsiaTheme="minorHAnsi"/>
          <w:b/>
          <w:i/>
          <w:lang w:eastAsia="en-US"/>
        </w:rPr>
        <w:t xml:space="preserve">0 </w:t>
      </w:r>
      <w:r w:rsidR="00D9096D" w:rsidRPr="00D9096D">
        <w:rPr>
          <w:rFonts w:eastAsiaTheme="minorHAnsi"/>
          <w:b/>
          <w:i/>
          <w:lang w:eastAsia="en-US"/>
        </w:rPr>
        <w:t>Potraživanje za prihode poslovanja</w:t>
      </w:r>
      <w:r w:rsidR="00D9096D">
        <w:rPr>
          <w:rFonts w:eastAsiaTheme="minorHAnsi"/>
          <w:lang w:eastAsia="en-US"/>
        </w:rPr>
        <w:t xml:space="preserve"> </w:t>
      </w:r>
      <w:r w:rsidR="00DE2711">
        <w:rPr>
          <w:rFonts w:eastAsiaTheme="minorHAnsi"/>
          <w:lang w:eastAsia="en-US"/>
        </w:rPr>
        <w:t xml:space="preserve">prikazuje </w:t>
      </w:r>
      <w:r w:rsidR="00D9096D">
        <w:rPr>
          <w:rFonts w:eastAsiaTheme="minorHAnsi"/>
          <w:lang w:eastAsia="en-US"/>
        </w:rPr>
        <w:t>smanjenje</w:t>
      </w:r>
      <w:r w:rsidR="00DE2711">
        <w:rPr>
          <w:rFonts w:eastAsiaTheme="minorHAnsi"/>
          <w:lang w:eastAsia="en-US"/>
        </w:rPr>
        <w:t xml:space="preserve"> potraživan</w:t>
      </w:r>
      <w:r w:rsidR="00033470">
        <w:rPr>
          <w:rFonts w:eastAsiaTheme="minorHAnsi"/>
          <w:lang w:eastAsia="en-US"/>
        </w:rPr>
        <w:t xml:space="preserve">ja za </w:t>
      </w:r>
      <w:r w:rsidR="008318B3">
        <w:rPr>
          <w:rFonts w:eastAsiaTheme="minorHAnsi"/>
          <w:lang w:eastAsia="en-US"/>
        </w:rPr>
        <w:t>3,20</w:t>
      </w:r>
      <w:r w:rsidR="00DE2711">
        <w:rPr>
          <w:rFonts w:eastAsiaTheme="minorHAnsi"/>
          <w:lang w:eastAsia="en-US"/>
        </w:rPr>
        <w:t xml:space="preserve"> % u odnosu na </w:t>
      </w:r>
      <w:r w:rsidR="00DE2711" w:rsidRPr="00B75721">
        <w:rPr>
          <w:rFonts w:eastAsiaTheme="minorHAnsi"/>
          <w:lang w:eastAsia="en-US"/>
        </w:rPr>
        <w:t xml:space="preserve">prethodno izvještajno razdoblje. </w:t>
      </w:r>
    </w:p>
    <w:p w:rsidR="00D9096D" w:rsidRDefault="00D9096D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A460E" w:rsidRDefault="00D9096D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3E90">
        <w:rPr>
          <w:rFonts w:eastAsiaTheme="minorHAnsi"/>
          <w:i/>
          <w:lang w:eastAsia="en-US"/>
        </w:rPr>
        <w:t>Potraživanje za poreze</w:t>
      </w:r>
      <w:r>
        <w:rPr>
          <w:rFonts w:eastAsiaTheme="minorHAnsi"/>
          <w:lang w:eastAsia="en-US"/>
        </w:rPr>
        <w:t xml:space="preserve"> u okviru skupine konta potraživanje za prihode poslovanja bilježe </w:t>
      </w:r>
      <w:r w:rsidR="008318B3">
        <w:rPr>
          <w:rFonts w:eastAsiaTheme="minorHAnsi"/>
          <w:lang w:eastAsia="en-US"/>
        </w:rPr>
        <w:t>porast od više od dva puta</w:t>
      </w:r>
      <w:r>
        <w:rPr>
          <w:rFonts w:eastAsiaTheme="minorHAnsi"/>
          <w:lang w:eastAsia="en-US"/>
        </w:rPr>
        <w:t xml:space="preserve"> u odnosu na prethodno izvještajno razdoblje. Navedeni </w:t>
      </w:r>
      <w:r w:rsidR="00C13A53">
        <w:rPr>
          <w:rFonts w:eastAsiaTheme="minorHAnsi"/>
          <w:lang w:eastAsia="en-US"/>
        </w:rPr>
        <w:t>porast</w:t>
      </w:r>
      <w:r>
        <w:rPr>
          <w:rFonts w:eastAsiaTheme="minorHAnsi"/>
          <w:lang w:eastAsia="en-US"/>
        </w:rPr>
        <w:t xml:space="preserve"> prikazuje </w:t>
      </w:r>
      <w:r w:rsidR="00C13A53">
        <w:rPr>
          <w:rFonts w:eastAsiaTheme="minorHAnsi"/>
          <w:lang w:eastAsia="en-US"/>
        </w:rPr>
        <w:t>slabiju</w:t>
      </w:r>
      <w:r>
        <w:rPr>
          <w:rFonts w:eastAsiaTheme="minorHAnsi"/>
          <w:lang w:eastAsia="en-US"/>
        </w:rPr>
        <w:t xml:space="preserve"> naplatu općinskih poreza odnosno poreza na tvrtku</w:t>
      </w:r>
      <w:r w:rsidR="00C13A53">
        <w:rPr>
          <w:rFonts w:eastAsiaTheme="minorHAnsi"/>
          <w:lang w:eastAsia="en-US"/>
        </w:rPr>
        <w:t xml:space="preserve"> i </w:t>
      </w:r>
      <w:r>
        <w:rPr>
          <w:rFonts w:eastAsiaTheme="minorHAnsi"/>
          <w:lang w:eastAsia="en-US"/>
        </w:rPr>
        <w:t>poreza na promet nekretnina</w:t>
      </w:r>
      <w:r w:rsidR="00FE3E90">
        <w:rPr>
          <w:rFonts w:eastAsiaTheme="minorHAnsi"/>
          <w:lang w:eastAsia="en-US"/>
        </w:rPr>
        <w:t>.</w:t>
      </w:r>
    </w:p>
    <w:p w:rsidR="00FE3E90" w:rsidRDefault="00FE3E90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E3E90" w:rsidRPr="00B75721" w:rsidRDefault="00FE3E90" w:rsidP="00FE3E9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3E90">
        <w:rPr>
          <w:rFonts w:eastAsiaTheme="minorHAnsi"/>
          <w:i/>
          <w:lang w:eastAsia="en-US"/>
        </w:rPr>
        <w:t xml:space="preserve">Potraživanje za </w:t>
      </w:r>
      <w:r>
        <w:rPr>
          <w:rFonts w:eastAsiaTheme="minorHAnsi"/>
          <w:i/>
          <w:lang w:eastAsia="en-US"/>
        </w:rPr>
        <w:t>prihode od imovine</w:t>
      </w:r>
      <w:r>
        <w:rPr>
          <w:rFonts w:eastAsiaTheme="minorHAnsi"/>
          <w:lang w:eastAsia="en-US"/>
        </w:rPr>
        <w:t xml:space="preserve"> u okviru skupine konta potraživanje za prihode poslovanja bilježe </w:t>
      </w:r>
      <w:r w:rsidR="00C13A53">
        <w:rPr>
          <w:rFonts w:eastAsiaTheme="minorHAnsi"/>
          <w:lang w:eastAsia="en-US"/>
        </w:rPr>
        <w:t>pad za 3,50 %</w:t>
      </w:r>
      <w:r>
        <w:rPr>
          <w:rFonts w:eastAsiaTheme="minorHAnsi"/>
          <w:lang w:eastAsia="en-US"/>
        </w:rPr>
        <w:t xml:space="preserve"> odnosu na prethodno izvještajno razdoblje. </w:t>
      </w:r>
      <w:r w:rsidR="001F79A2">
        <w:rPr>
          <w:rFonts w:eastAsiaTheme="minorHAnsi"/>
          <w:lang w:eastAsia="en-US"/>
        </w:rPr>
        <w:t>U okviru ove skupine konta najznačajnija se potraživanja odnose na koncesije, zakupe i legalizaciju.</w:t>
      </w:r>
    </w:p>
    <w:p w:rsidR="00FE3E90" w:rsidRDefault="00FE3E90" w:rsidP="00CA460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9076E" w:rsidRPr="00B75721" w:rsidRDefault="0039076E" w:rsidP="0039076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E3E90">
        <w:rPr>
          <w:rFonts w:eastAsiaTheme="minorHAnsi"/>
          <w:i/>
          <w:lang w:eastAsia="en-US"/>
        </w:rPr>
        <w:t xml:space="preserve">Potraživanje za </w:t>
      </w:r>
      <w:r w:rsidR="00AC52EE">
        <w:rPr>
          <w:rFonts w:eastAsiaTheme="minorHAnsi"/>
          <w:i/>
          <w:lang w:eastAsia="en-US"/>
        </w:rPr>
        <w:t>upravne i administrativne pristojbe</w:t>
      </w:r>
      <w:r>
        <w:rPr>
          <w:rFonts w:eastAsiaTheme="minorHAnsi"/>
          <w:lang w:eastAsia="en-US"/>
        </w:rPr>
        <w:t xml:space="preserve"> u okviru skupine konta potraživanje za prihode poslovanja bilježe </w:t>
      </w:r>
      <w:r w:rsidR="00AC52EE">
        <w:rPr>
          <w:rFonts w:eastAsiaTheme="minorHAnsi"/>
          <w:lang w:eastAsia="en-US"/>
        </w:rPr>
        <w:t xml:space="preserve">pad za </w:t>
      </w:r>
      <w:r w:rsidR="00C13A53">
        <w:rPr>
          <w:rFonts w:eastAsiaTheme="minorHAnsi"/>
          <w:lang w:eastAsia="en-US"/>
        </w:rPr>
        <w:t>15,20</w:t>
      </w:r>
      <w:r w:rsidR="00AC52EE">
        <w:rPr>
          <w:rFonts w:eastAsiaTheme="minorHAnsi"/>
          <w:lang w:eastAsia="en-US"/>
        </w:rPr>
        <w:t xml:space="preserve"> % u</w:t>
      </w:r>
      <w:r>
        <w:rPr>
          <w:rFonts w:eastAsiaTheme="minorHAnsi"/>
          <w:lang w:eastAsia="en-US"/>
        </w:rPr>
        <w:t xml:space="preserve"> odnosu na prethodno izvještajno razdoblje. U okviru ove skupine konta najznačajnija se potraživanja odnose na </w:t>
      </w:r>
      <w:r w:rsidR="009B7D05">
        <w:rPr>
          <w:rFonts w:eastAsiaTheme="minorHAnsi"/>
          <w:lang w:eastAsia="en-US"/>
        </w:rPr>
        <w:t>komunalnu naknadu i komunalni doprinos</w:t>
      </w:r>
      <w:r w:rsidR="00E41B87">
        <w:rPr>
          <w:rFonts w:eastAsiaTheme="minorHAnsi"/>
          <w:lang w:eastAsia="en-US"/>
        </w:rPr>
        <w:t>.</w:t>
      </w:r>
    </w:p>
    <w:p w:rsidR="00DE2711" w:rsidRDefault="00DE2711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3A53" w:rsidRDefault="00C13A53" w:rsidP="00C13A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9096D">
        <w:rPr>
          <w:rFonts w:eastAsiaTheme="minorHAnsi"/>
          <w:b/>
          <w:i/>
          <w:lang w:eastAsia="en-US"/>
        </w:rPr>
        <w:t xml:space="preserve">AOP </w:t>
      </w:r>
      <w:r>
        <w:rPr>
          <w:rFonts w:eastAsiaTheme="minorHAnsi"/>
          <w:b/>
          <w:i/>
          <w:lang w:eastAsia="en-US"/>
        </w:rPr>
        <w:t>157 Potraživanje od prodaje nefinancijske imovine</w:t>
      </w:r>
      <w:r>
        <w:rPr>
          <w:rFonts w:eastAsiaTheme="minorHAnsi"/>
          <w:lang w:eastAsia="en-US"/>
        </w:rPr>
        <w:t xml:space="preserve"> prikazuje smanjenje potraživanja za 12,70 % u odnosu na </w:t>
      </w:r>
      <w:r w:rsidRPr="00B75721">
        <w:rPr>
          <w:rFonts w:eastAsiaTheme="minorHAnsi"/>
          <w:lang w:eastAsia="en-US"/>
        </w:rPr>
        <w:t xml:space="preserve">prethodno izvještajno razdoblje. </w:t>
      </w:r>
      <w:r>
        <w:rPr>
          <w:rFonts w:eastAsiaTheme="minorHAnsi"/>
          <w:lang w:eastAsia="en-US"/>
        </w:rPr>
        <w:t>Na navedenoj skupini potraživanja evidentirani su prihodi od prodaje zemljišta u vlasništvu Republike Hrvatske.</w:t>
      </w:r>
    </w:p>
    <w:p w:rsidR="00C13A53" w:rsidRDefault="00C13A53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E2711" w:rsidRPr="00D84AB4" w:rsidRDefault="00DE2711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i/>
          <w:lang w:eastAsia="en-US"/>
        </w:rPr>
        <w:t>Bilješka uz AOP 16</w:t>
      </w:r>
      <w:r w:rsidR="0088590A">
        <w:rPr>
          <w:rFonts w:eastAsiaTheme="minorHAnsi"/>
          <w:b/>
          <w:i/>
          <w:lang w:eastAsia="en-US"/>
        </w:rPr>
        <w:t>3</w:t>
      </w:r>
      <w:r w:rsidRPr="001A4BCD">
        <w:rPr>
          <w:rFonts w:eastAsiaTheme="minorHAnsi"/>
          <w:b/>
          <w:i/>
          <w:lang w:eastAsia="en-US"/>
        </w:rPr>
        <w:t xml:space="preserve"> </w:t>
      </w:r>
      <w:r>
        <w:rPr>
          <w:rFonts w:eastAsiaTheme="minorHAnsi"/>
          <w:b/>
          <w:i/>
          <w:lang w:eastAsia="en-US"/>
        </w:rPr>
        <w:t xml:space="preserve">Obveze: </w:t>
      </w:r>
      <w:r w:rsidR="0088590A">
        <w:rPr>
          <w:rFonts w:eastAsiaTheme="minorHAnsi"/>
          <w:lang w:eastAsia="en-US"/>
        </w:rPr>
        <w:t>stanje pozicije AOP 163</w:t>
      </w:r>
      <w:r>
        <w:rPr>
          <w:rFonts w:eastAsiaTheme="minorHAnsi"/>
          <w:lang w:eastAsia="en-US"/>
        </w:rPr>
        <w:t xml:space="preserve"> prikazuje </w:t>
      </w:r>
      <w:r w:rsidR="0088590A">
        <w:rPr>
          <w:rFonts w:eastAsiaTheme="minorHAnsi"/>
          <w:lang w:eastAsia="en-US"/>
        </w:rPr>
        <w:t>porast</w:t>
      </w:r>
      <w:r>
        <w:rPr>
          <w:rFonts w:eastAsiaTheme="minorHAnsi"/>
          <w:lang w:eastAsia="en-US"/>
        </w:rPr>
        <w:t xml:space="preserve"> obveza za </w:t>
      </w:r>
      <w:r w:rsidR="00C13A53">
        <w:rPr>
          <w:rFonts w:eastAsiaTheme="minorHAnsi"/>
          <w:lang w:eastAsia="en-US"/>
        </w:rPr>
        <w:t xml:space="preserve">86,10 % </w:t>
      </w:r>
      <w:r>
        <w:rPr>
          <w:rFonts w:eastAsiaTheme="minorHAnsi"/>
          <w:lang w:eastAsia="en-US"/>
        </w:rPr>
        <w:t>u</w:t>
      </w:r>
      <w:r w:rsidR="00033470">
        <w:rPr>
          <w:rFonts w:eastAsiaTheme="minorHAnsi"/>
          <w:lang w:eastAsia="en-US"/>
        </w:rPr>
        <w:t xml:space="preserve"> odnosu na dan 01. siječnja 201</w:t>
      </w:r>
      <w:r w:rsidR="00E41B8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>. godine. Stanje</w:t>
      </w:r>
      <w:r w:rsidR="00033470">
        <w:rPr>
          <w:rFonts w:eastAsiaTheme="minorHAnsi"/>
          <w:lang w:eastAsia="en-US"/>
        </w:rPr>
        <w:t xml:space="preserve"> obveza na dan 31. prosinca 201</w:t>
      </w:r>
      <w:r w:rsidR="00E41B8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godine </w:t>
      </w:r>
      <w:r w:rsidRPr="00D84AB4">
        <w:rPr>
          <w:rFonts w:eastAsiaTheme="minorHAnsi"/>
          <w:lang w:eastAsia="en-US"/>
        </w:rPr>
        <w:t xml:space="preserve">iznosi </w:t>
      </w:r>
      <w:r w:rsidR="00C13A53">
        <w:rPr>
          <w:rFonts w:eastAsiaTheme="minorHAnsi"/>
          <w:lang w:eastAsia="en-US"/>
        </w:rPr>
        <w:t>471.136</w:t>
      </w:r>
      <w:r w:rsidRPr="00D84AB4">
        <w:rPr>
          <w:rFonts w:eastAsiaTheme="minorHAnsi"/>
          <w:lang w:eastAsia="en-US"/>
        </w:rPr>
        <w:t xml:space="preserve"> kn. </w:t>
      </w:r>
      <w:r w:rsidR="0088590A" w:rsidRPr="00D84AB4">
        <w:rPr>
          <w:rFonts w:eastAsiaTheme="minorHAnsi"/>
          <w:lang w:eastAsia="en-US"/>
        </w:rPr>
        <w:t xml:space="preserve">Iznos od </w:t>
      </w:r>
      <w:r w:rsidR="00C13A53">
        <w:rPr>
          <w:rFonts w:eastAsiaTheme="minorHAnsi"/>
          <w:lang w:eastAsia="en-US"/>
        </w:rPr>
        <w:t>94.014</w:t>
      </w:r>
      <w:r w:rsidR="0088590A" w:rsidRPr="00D84AB4">
        <w:rPr>
          <w:rFonts w:eastAsiaTheme="minorHAnsi"/>
          <w:lang w:eastAsia="en-US"/>
        </w:rPr>
        <w:t xml:space="preserve"> kn</w:t>
      </w:r>
      <w:r w:rsidRPr="00D84AB4">
        <w:rPr>
          <w:rFonts w:eastAsiaTheme="minorHAnsi"/>
          <w:lang w:eastAsia="en-US"/>
        </w:rPr>
        <w:t xml:space="preserve"> odnosi se na nedospjele obveze po osnovi rashoda za zaposlene i materijalnih rashoda poslovanja</w:t>
      </w:r>
      <w:r w:rsidR="0088590A" w:rsidRPr="00D84AB4">
        <w:rPr>
          <w:rFonts w:eastAsiaTheme="minorHAnsi"/>
          <w:lang w:eastAsia="en-US"/>
        </w:rPr>
        <w:t xml:space="preserve">, </w:t>
      </w:r>
      <w:r w:rsidR="00C13A53">
        <w:rPr>
          <w:rFonts w:eastAsiaTheme="minorHAnsi"/>
          <w:lang w:eastAsia="en-US"/>
        </w:rPr>
        <w:t xml:space="preserve">preostali </w:t>
      </w:r>
      <w:r w:rsidR="0077201A" w:rsidRPr="00D84AB4">
        <w:rPr>
          <w:rFonts w:eastAsiaTheme="minorHAnsi"/>
          <w:lang w:eastAsia="en-US"/>
        </w:rPr>
        <w:t xml:space="preserve">iznos od </w:t>
      </w:r>
      <w:r w:rsidR="00C13A53">
        <w:rPr>
          <w:rFonts w:eastAsiaTheme="minorHAnsi"/>
          <w:lang w:eastAsia="en-US"/>
        </w:rPr>
        <w:t>377.122</w:t>
      </w:r>
      <w:r w:rsidR="0077201A" w:rsidRPr="00D84AB4">
        <w:rPr>
          <w:rFonts w:eastAsiaTheme="minorHAnsi"/>
          <w:lang w:eastAsia="en-US"/>
        </w:rPr>
        <w:t xml:space="preserve"> kn odnosi se na dospjele obveze koje će se podmiriti u narednih 60 d</w:t>
      </w:r>
      <w:r w:rsidR="00D84AB4" w:rsidRPr="00D84AB4">
        <w:rPr>
          <w:rFonts w:eastAsiaTheme="minorHAnsi"/>
          <w:lang w:eastAsia="en-US"/>
        </w:rPr>
        <w:t>ana</w:t>
      </w:r>
      <w:r w:rsidRPr="00D84AB4">
        <w:rPr>
          <w:rFonts w:eastAsiaTheme="minorHAnsi"/>
          <w:lang w:eastAsia="en-US"/>
        </w:rPr>
        <w:t>.</w:t>
      </w:r>
    </w:p>
    <w:p w:rsidR="00DE2711" w:rsidRDefault="00DE2711" w:rsidP="00EE071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450AD" w:rsidRPr="00607231" w:rsidRDefault="00B80B7A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7231">
        <w:rPr>
          <w:rFonts w:eastAsiaTheme="minorHAnsi"/>
          <w:b/>
          <w:i/>
          <w:lang w:eastAsia="en-US"/>
        </w:rPr>
        <w:t xml:space="preserve">Bilješka uz Rezultat poslovanja: </w:t>
      </w:r>
      <w:r w:rsidR="00B450AD" w:rsidRPr="00607231">
        <w:rPr>
          <w:rFonts w:eastAsiaTheme="minorHAnsi"/>
          <w:lang w:eastAsia="en-US"/>
        </w:rPr>
        <w:t xml:space="preserve">Na kraju izvještajnog razdoblja ostvaren </w:t>
      </w:r>
      <w:r w:rsidR="005E333C">
        <w:rPr>
          <w:rFonts w:eastAsiaTheme="minorHAnsi"/>
          <w:lang w:eastAsia="en-US"/>
        </w:rPr>
        <w:t>je višak</w:t>
      </w:r>
      <w:r w:rsidR="00B450AD" w:rsidRPr="00607231">
        <w:rPr>
          <w:rFonts w:eastAsiaTheme="minorHAnsi"/>
          <w:lang w:eastAsia="en-US"/>
        </w:rPr>
        <w:t xml:space="preserve"> prihoda poslovanja u iznosu od </w:t>
      </w:r>
      <w:r w:rsidR="009C2829">
        <w:rPr>
          <w:rFonts w:eastAsiaTheme="minorHAnsi"/>
          <w:lang w:eastAsia="en-US"/>
        </w:rPr>
        <w:t>289.673</w:t>
      </w:r>
      <w:r w:rsidR="00B450AD" w:rsidRPr="00607231">
        <w:rPr>
          <w:rFonts w:eastAsiaTheme="minorHAnsi"/>
          <w:lang w:eastAsia="en-US"/>
        </w:rPr>
        <w:t xml:space="preserve"> kn </w:t>
      </w:r>
      <w:r w:rsidR="00763004">
        <w:rPr>
          <w:rFonts w:eastAsiaTheme="minorHAnsi"/>
          <w:lang w:eastAsia="en-US"/>
        </w:rPr>
        <w:t xml:space="preserve">(nakon izvršene korekcije rezultata) </w:t>
      </w:r>
      <w:r w:rsidR="00B450AD" w:rsidRPr="00607231">
        <w:rPr>
          <w:rFonts w:eastAsiaTheme="minorHAnsi"/>
          <w:lang w:eastAsia="en-US"/>
        </w:rPr>
        <w:t>koji pribr</w:t>
      </w:r>
      <w:r w:rsidR="00607231" w:rsidRPr="00607231">
        <w:rPr>
          <w:rFonts w:eastAsiaTheme="minorHAnsi"/>
          <w:lang w:eastAsia="en-US"/>
        </w:rPr>
        <w:t xml:space="preserve">ojen s prenesenim </w:t>
      </w:r>
      <w:r w:rsidR="009C2829">
        <w:rPr>
          <w:rFonts w:eastAsiaTheme="minorHAnsi"/>
          <w:lang w:eastAsia="en-US"/>
        </w:rPr>
        <w:t>manjkom</w:t>
      </w:r>
      <w:r w:rsidR="00607231" w:rsidRPr="00607231">
        <w:rPr>
          <w:rFonts w:eastAsiaTheme="minorHAnsi"/>
          <w:lang w:eastAsia="en-US"/>
        </w:rPr>
        <w:t xml:space="preserve"> iz 201</w:t>
      </w:r>
      <w:r w:rsidR="005E333C">
        <w:rPr>
          <w:rFonts w:eastAsiaTheme="minorHAnsi"/>
          <w:lang w:eastAsia="en-US"/>
        </w:rPr>
        <w:t>6</w:t>
      </w:r>
      <w:r w:rsidR="00B450AD" w:rsidRPr="00607231">
        <w:rPr>
          <w:rFonts w:eastAsiaTheme="minorHAnsi"/>
          <w:lang w:eastAsia="en-US"/>
        </w:rPr>
        <w:t xml:space="preserve">. godine u iznosu od </w:t>
      </w:r>
      <w:r w:rsidR="009C2829">
        <w:rPr>
          <w:rFonts w:eastAsiaTheme="minorHAnsi"/>
          <w:lang w:eastAsia="en-US"/>
        </w:rPr>
        <w:t>284.782</w:t>
      </w:r>
      <w:r w:rsidR="00B450AD" w:rsidRPr="00607231">
        <w:rPr>
          <w:rFonts w:eastAsiaTheme="minorHAnsi"/>
          <w:lang w:eastAsia="en-US"/>
        </w:rPr>
        <w:t xml:space="preserve"> kn daje ukupni višak prihoda poslovanja raspoloživ u sljedećem razdoblju u iznosu od </w:t>
      </w:r>
      <w:r w:rsidR="009C2829">
        <w:rPr>
          <w:rFonts w:eastAsiaTheme="minorHAnsi"/>
          <w:lang w:eastAsia="en-US"/>
        </w:rPr>
        <w:t xml:space="preserve">4.891 </w:t>
      </w:r>
      <w:r w:rsidR="00B450AD" w:rsidRPr="00607231">
        <w:rPr>
          <w:rFonts w:eastAsiaTheme="minorHAnsi"/>
          <w:lang w:eastAsia="en-US"/>
        </w:rPr>
        <w:t xml:space="preserve">kn. </w:t>
      </w:r>
    </w:p>
    <w:p w:rsidR="00B450AD" w:rsidRPr="00607231" w:rsidRDefault="00B450AD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450AD" w:rsidRDefault="00B450AD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607231">
        <w:rPr>
          <w:rFonts w:eastAsiaTheme="minorHAnsi"/>
          <w:lang w:eastAsia="en-US"/>
        </w:rPr>
        <w:t>Na kraju izvješta</w:t>
      </w:r>
      <w:r w:rsidR="00607231" w:rsidRPr="00607231">
        <w:rPr>
          <w:rFonts w:eastAsiaTheme="minorHAnsi"/>
          <w:lang w:eastAsia="en-US"/>
        </w:rPr>
        <w:t>jnog razdoblja ostvaren je manjak</w:t>
      </w:r>
      <w:r w:rsidRPr="00607231">
        <w:rPr>
          <w:rFonts w:eastAsiaTheme="minorHAnsi"/>
          <w:lang w:eastAsia="en-US"/>
        </w:rPr>
        <w:t xml:space="preserve"> prihoda od nefinacijske imovine u iznosu o</w:t>
      </w:r>
      <w:r w:rsidR="00A45F81" w:rsidRPr="00607231">
        <w:rPr>
          <w:rFonts w:eastAsiaTheme="minorHAnsi"/>
          <w:lang w:eastAsia="en-US"/>
        </w:rPr>
        <w:t xml:space="preserve">d </w:t>
      </w:r>
      <w:r w:rsidR="009C2829">
        <w:rPr>
          <w:rFonts w:eastAsiaTheme="minorHAnsi"/>
          <w:lang w:eastAsia="en-US"/>
        </w:rPr>
        <w:t>225.268</w:t>
      </w:r>
      <w:r w:rsidRPr="00607231">
        <w:rPr>
          <w:rFonts w:eastAsiaTheme="minorHAnsi"/>
          <w:lang w:eastAsia="en-US"/>
        </w:rPr>
        <w:t xml:space="preserve"> kn </w:t>
      </w:r>
      <w:r w:rsidR="00763004">
        <w:rPr>
          <w:rFonts w:eastAsiaTheme="minorHAnsi"/>
          <w:lang w:eastAsia="en-US"/>
        </w:rPr>
        <w:t xml:space="preserve">(nakon izvršene korekcije rezultata) </w:t>
      </w:r>
      <w:r w:rsidRPr="00607231">
        <w:rPr>
          <w:rFonts w:eastAsiaTheme="minorHAnsi"/>
          <w:lang w:eastAsia="en-US"/>
        </w:rPr>
        <w:t>koji pribr</w:t>
      </w:r>
      <w:r w:rsidR="00607231" w:rsidRPr="00607231">
        <w:rPr>
          <w:rFonts w:eastAsiaTheme="minorHAnsi"/>
          <w:lang w:eastAsia="en-US"/>
        </w:rPr>
        <w:t xml:space="preserve">ojen s prenesenim </w:t>
      </w:r>
      <w:r w:rsidR="009C2829">
        <w:rPr>
          <w:rFonts w:eastAsiaTheme="minorHAnsi"/>
          <w:lang w:eastAsia="en-US"/>
        </w:rPr>
        <w:t>viškom</w:t>
      </w:r>
      <w:r w:rsidR="00607231" w:rsidRPr="00607231">
        <w:rPr>
          <w:rFonts w:eastAsiaTheme="minorHAnsi"/>
          <w:lang w:eastAsia="en-US"/>
        </w:rPr>
        <w:t xml:space="preserve"> iz 201</w:t>
      </w:r>
      <w:r w:rsidR="00763004">
        <w:rPr>
          <w:rFonts w:eastAsiaTheme="minorHAnsi"/>
          <w:lang w:eastAsia="en-US"/>
        </w:rPr>
        <w:t>6</w:t>
      </w:r>
      <w:r w:rsidRPr="00607231">
        <w:rPr>
          <w:rFonts w:eastAsiaTheme="minorHAnsi"/>
          <w:lang w:eastAsia="en-US"/>
        </w:rPr>
        <w:t xml:space="preserve">. godine u iznosu od </w:t>
      </w:r>
      <w:r w:rsidR="009C2829">
        <w:rPr>
          <w:rFonts w:eastAsiaTheme="minorHAnsi"/>
          <w:lang w:eastAsia="en-US"/>
        </w:rPr>
        <w:t>1.194.456</w:t>
      </w:r>
      <w:r w:rsidRPr="00607231">
        <w:rPr>
          <w:rFonts w:eastAsiaTheme="minorHAnsi"/>
          <w:lang w:eastAsia="en-US"/>
        </w:rPr>
        <w:t xml:space="preserve"> kn daje ukupni </w:t>
      </w:r>
      <w:r w:rsidR="009C2829">
        <w:rPr>
          <w:rFonts w:eastAsiaTheme="minorHAnsi"/>
          <w:lang w:eastAsia="en-US"/>
        </w:rPr>
        <w:t>višak</w:t>
      </w:r>
      <w:r w:rsidRPr="00607231">
        <w:rPr>
          <w:rFonts w:eastAsiaTheme="minorHAnsi"/>
          <w:lang w:eastAsia="en-US"/>
        </w:rPr>
        <w:t xml:space="preserve"> prihoda od nefinancijske imovine </w:t>
      </w:r>
      <w:r w:rsidR="009C2829">
        <w:rPr>
          <w:rFonts w:eastAsiaTheme="minorHAnsi"/>
          <w:lang w:eastAsia="en-US"/>
        </w:rPr>
        <w:t>raspoloživ</w:t>
      </w:r>
      <w:r w:rsidRPr="00607231">
        <w:rPr>
          <w:rFonts w:eastAsiaTheme="minorHAnsi"/>
          <w:lang w:eastAsia="en-US"/>
        </w:rPr>
        <w:t xml:space="preserve"> u sljedeć</w:t>
      </w:r>
      <w:r w:rsidR="00A45F81" w:rsidRPr="00607231">
        <w:rPr>
          <w:rFonts w:eastAsiaTheme="minorHAnsi"/>
          <w:lang w:eastAsia="en-US"/>
        </w:rPr>
        <w:t xml:space="preserve">em razdoblju u iznosu od </w:t>
      </w:r>
      <w:r w:rsidR="009C2829">
        <w:rPr>
          <w:rFonts w:eastAsiaTheme="minorHAnsi"/>
          <w:lang w:eastAsia="en-US"/>
        </w:rPr>
        <w:t>969.188</w:t>
      </w:r>
      <w:r w:rsidRPr="00607231">
        <w:rPr>
          <w:rFonts w:eastAsiaTheme="minorHAnsi"/>
          <w:lang w:eastAsia="en-US"/>
        </w:rPr>
        <w:t xml:space="preserve"> kn. </w:t>
      </w:r>
    </w:p>
    <w:p w:rsidR="00763004" w:rsidRDefault="00763004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63004" w:rsidRDefault="00763004" w:rsidP="0076300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Na dan 31. prosinca 2017. godine utvrđen je ukupan višak prihoda i primitaka raspoloživ u sljedećem razdoblju u iznosu od </w:t>
      </w:r>
      <w:r w:rsidR="009C2829">
        <w:rPr>
          <w:rFonts w:eastAsiaTheme="minorHAnsi"/>
          <w:lang w:eastAsia="en-US"/>
        </w:rPr>
        <w:t>934.079</w:t>
      </w:r>
      <w:r>
        <w:rPr>
          <w:rFonts w:eastAsiaTheme="minorHAnsi"/>
          <w:lang w:eastAsia="en-US"/>
        </w:rPr>
        <w:t xml:space="preserve"> kn.</w:t>
      </w:r>
    </w:p>
    <w:p w:rsidR="00763004" w:rsidRDefault="00763004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D07CB" w:rsidRDefault="005A204F" w:rsidP="00AF497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Tokom 201</w:t>
      </w:r>
      <w:r w:rsidR="00763004">
        <w:rPr>
          <w:rFonts w:eastAsiaTheme="minorHAnsi"/>
          <w:lang w:eastAsia="en-US"/>
        </w:rPr>
        <w:t>7</w:t>
      </w:r>
      <w:r w:rsidR="00B450AD">
        <w:rPr>
          <w:rFonts w:eastAsiaTheme="minorHAnsi"/>
          <w:lang w:eastAsia="en-US"/>
        </w:rPr>
        <w:t>. godine Općina se nije zaduživala kod kreditnih institucija i drugih pravnih subjekata, te također ista nema</w:t>
      </w:r>
      <w:r w:rsidR="00AF497D">
        <w:rPr>
          <w:rFonts w:eastAsiaTheme="minorHAnsi"/>
          <w:lang w:eastAsia="en-US"/>
        </w:rPr>
        <w:t xml:space="preserve"> nikakvih zaduženja po osnovi kredita i zajmova iz prethodnih razdoblja. </w:t>
      </w:r>
      <w:r w:rsidR="006153AE">
        <w:rPr>
          <w:rFonts w:eastAsiaTheme="minorHAnsi"/>
          <w:lang w:eastAsia="en-US"/>
        </w:rPr>
        <w:t>Dana 31. siječnja 2017. godine isplaćen je kratkoročni zajam komunalnom poduzeću u iznosu od 40.000,00 kn. Rok povrata zajma je 31. prosinac 2017. godine</w:t>
      </w:r>
      <w:r w:rsidR="00A77430">
        <w:rPr>
          <w:rFonts w:eastAsiaTheme="minorHAnsi"/>
          <w:lang w:eastAsia="en-US"/>
        </w:rPr>
        <w:t>.</w:t>
      </w:r>
    </w:p>
    <w:p w:rsidR="00566431" w:rsidRPr="0077201A" w:rsidRDefault="00566431" w:rsidP="00EE0718">
      <w:pPr>
        <w:spacing w:line="360" w:lineRule="auto"/>
        <w:jc w:val="both"/>
        <w:rPr>
          <w:rFonts w:eastAsiaTheme="minorHAnsi"/>
          <w:lang w:eastAsia="en-US"/>
        </w:rPr>
      </w:pPr>
    </w:p>
    <w:p w:rsidR="0077201A" w:rsidRDefault="0077201A" w:rsidP="0077201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>Temeljem članka 14</w:t>
      </w:r>
      <w:r w:rsidRPr="0077201A">
        <w:rPr>
          <w:rFonts w:eastAsiaTheme="minorHAnsi"/>
          <w:b/>
          <w:bCs/>
          <w:lang w:eastAsia="en-US"/>
        </w:rPr>
        <w:t xml:space="preserve">. Pravilnika o financijskom izvještavanju </w:t>
      </w:r>
      <w:r>
        <w:rPr>
          <w:rFonts w:eastAsiaTheme="minorHAnsi"/>
          <w:b/>
          <w:bCs/>
          <w:lang w:eastAsia="en-US"/>
        </w:rPr>
        <w:t xml:space="preserve">u nastavku </w:t>
      </w:r>
      <w:r w:rsidRPr="0077201A">
        <w:rPr>
          <w:rFonts w:eastAsiaTheme="minorHAnsi"/>
          <w:b/>
          <w:bCs/>
          <w:lang w:eastAsia="en-US"/>
        </w:rPr>
        <w:t>daje se pregled stanja i</w:t>
      </w:r>
      <w:r>
        <w:rPr>
          <w:rFonts w:eastAsiaTheme="minorHAnsi"/>
          <w:b/>
          <w:bCs/>
          <w:lang w:eastAsia="en-US"/>
        </w:rPr>
        <w:t xml:space="preserve"> </w:t>
      </w:r>
      <w:r w:rsidRPr="0077201A">
        <w:rPr>
          <w:rFonts w:eastAsiaTheme="minorHAnsi"/>
          <w:b/>
          <w:bCs/>
          <w:lang w:eastAsia="en-US"/>
        </w:rPr>
        <w:t>rokova dosp</w:t>
      </w:r>
      <w:r>
        <w:rPr>
          <w:rFonts w:eastAsiaTheme="minorHAnsi"/>
          <w:b/>
          <w:bCs/>
          <w:lang w:eastAsia="en-US"/>
        </w:rPr>
        <w:t>i</w:t>
      </w:r>
      <w:r w:rsidRPr="0077201A">
        <w:rPr>
          <w:rFonts w:eastAsiaTheme="minorHAnsi"/>
          <w:b/>
          <w:bCs/>
          <w:lang w:eastAsia="en-US"/>
        </w:rPr>
        <w:t>jeća dugoročnih i kratkoročnih zajmova, robnih</w:t>
      </w:r>
      <w:r>
        <w:rPr>
          <w:rFonts w:eastAsiaTheme="minorHAnsi"/>
          <w:b/>
          <w:bCs/>
          <w:lang w:eastAsia="en-US"/>
        </w:rPr>
        <w:t xml:space="preserve"> kredita i financijskih najmova (leasing</w:t>
      </w:r>
      <w:r w:rsidRPr="0077201A">
        <w:rPr>
          <w:rFonts w:eastAsiaTheme="minorHAnsi"/>
          <w:b/>
          <w:bCs/>
          <w:lang w:eastAsia="en-US"/>
        </w:rPr>
        <w:t>)</w:t>
      </w:r>
      <w:r>
        <w:rPr>
          <w:rFonts w:eastAsiaTheme="minorHAnsi"/>
          <w:lang w:eastAsia="en-US"/>
        </w:rPr>
        <w:t>:</w:t>
      </w:r>
    </w:p>
    <w:p w:rsidR="0077201A" w:rsidRPr="0077201A" w:rsidRDefault="0077201A" w:rsidP="0077201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77201A" w:rsidRDefault="0077201A" w:rsidP="0077201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201A">
        <w:rPr>
          <w:rFonts w:eastAsiaTheme="minorHAnsi"/>
          <w:lang w:eastAsia="en-US"/>
        </w:rPr>
        <w:t>Tablica 1 – Dani zajmovi i primljene otplate</w:t>
      </w:r>
    </w:p>
    <w:p w:rsidR="0077201A" w:rsidRDefault="0077201A" w:rsidP="0077201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201A">
        <w:rPr>
          <w:rFonts w:eastAsiaTheme="minorHAnsi"/>
          <w:lang w:eastAsia="en-US"/>
        </w:rPr>
        <w:t>Tablica 2 – Primljeni krediti i zajmovi te otplate</w:t>
      </w:r>
    </w:p>
    <w:p w:rsidR="0077201A" w:rsidRDefault="0077201A" w:rsidP="0077201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201A">
        <w:rPr>
          <w:rFonts w:eastAsiaTheme="minorHAnsi"/>
          <w:lang w:eastAsia="en-US"/>
        </w:rPr>
        <w:t>Tablica 3 – Primljeni robni zajmovi i financijski najmovi</w:t>
      </w:r>
    </w:p>
    <w:p w:rsidR="00566431" w:rsidRPr="00101E21" w:rsidRDefault="0077201A" w:rsidP="00101E21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201A">
        <w:rPr>
          <w:rFonts w:eastAsiaTheme="minorHAnsi"/>
          <w:lang w:eastAsia="en-US"/>
        </w:rPr>
        <w:t>Tablica 4 – Dospjele kamate na kredite i zajmove</w:t>
      </w:r>
    </w:p>
    <w:p w:rsidR="00566431" w:rsidRDefault="00566431" w:rsidP="00EE0718">
      <w:pPr>
        <w:spacing w:line="360" w:lineRule="auto"/>
        <w:jc w:val="both"/>
        <w:rPr>
          <w:rFonts w:eastAsiaTheme="minorHAnsi"/>
          <w:lang w:eastAsia="en-US"/>
        </w:rPr>
      </w:pPr>
    </w:p>
    <w:p w:rsidR="00566431" w:rsidRDefault="00566431" w:rsidP="00EE0718">
      <w:pPr>
        <w:spacing w:line="360" w:lineRule="auto"/>
        <w:jc w:val="both"/>
        <w:rPr>
          <w:rFonts w:eastAsiaTheme="minorHAnsi"/>
          <w:lang w:eastAsia="en-US"/>
        </w:rPr>
        <w:sectPr w:rsidR="0056643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5994" w:type="dxa"/>
        <w:jc w:val="center"/>
        <w:tblLook w:val="04A0" w:firstRow="1" w:lastRow="0" w:firstColumn="1" w:lastColumn="0" w:noHBand="0" w:noVBand="1"/>
      </w:tblPr>
      <w:tblGrid>
        <w:gridCol w:w="650"/>
        <w:gridCol w:w="1705"/>
        <w:gridCol w:w="2086"/>
        <w:gridCol w:w="1276"/>
        <w:gridCol w:w="1760"/>
        <w:gridCol w:w="1760"/>
        <w:gridCol w:w="1760"/>
        <w:gridCol w:w="2233"/>
        <w:gridCol w:w="1229"/>
        <w:gridCol w:w="1535"/>
      </w:tblGrid>
      <w:tr w:rsidR="00566431" w:rsidTr="00DB6CA1">
        <w:trPr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  <w:bookmarkStart w:id="1" w:name="RANGE!A1:J27"/>
            <w:bookmarkEnd w:id="1"/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</w:tr>
      <w:tr w:rsidR="00566431" w:rsidTr="00DB6CA1">
        <w:trPr>
          <w:trHeight w:val="43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OPĆINA </w:t>
            </w:r>
            <w:r w:rsidR="00D1782A">
              <w:rPr>
                <w:b/>
                <w:bCs/>
                <w:sz w:val="22"/>
                <w:szCs w:val="22"/>
              </w:rPr>
              <w:t>ŠODOLOVCI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566431" w:rsidRDefault="00DB6CA1">
            <w:pPr>
              <w:jc w:val="right"/>
              <w:rPr>
                <w:b/>
                <w:bCs/>
                <w:sz w:val="22"/>
                <w:szCs w:val="22"/>
              </w:rPr>
            </w:pPr>
            <w:r w:rsidRPr="00DB6CA1">
              <w:rPr>
                <w:b/>
                <w:bCs/>
                <w:sz w:val="22"/>
                <w:szCs w:val="22"/>
              </w:rPr>
              <w:t>62765405304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566431" w:rsidRDefault="00DB6CA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36900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auto"/>
            <w:noWrap/>
            <w:vAlign w:val="bottom"/>
            <w:hideMark/>
          </w:tcPr>
          <w:p w:rsidR="00566431" w:rsidRDefault="00DB6CA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IVE ANDRIĆA 3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proračuna, proračunskog i izvanproračunskog korisnika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OIB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RKP BROJ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</w:tr>
      <w:tr w:rsidR="00566431" w:rsidTr="00DB6CA1">
        <w:trPr>
          <w:trHeight w:val="405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sz w:val="20"/>
                <w:szCs w:val="20"/>
              </w:rPr>
            </w:pPr>
          </w:p>
        </w:tc>
        <w:tc>
          <w:tcPr>
            <w:tcW w:w="153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rPr>
                <w:b/>
                <w:bCs/>
              </w:rPr>
            </w:pPr>
            <w:r>
              <w:rPr>
                <w:b/>
                <w:bCs/>
              </w:rPr>
              <w:t>Tablica 1: Dani zajmovi i primljene otplate</w:t>
            </w:r>
          </w:p>
        </w:tc>
      </w:tr>
      <w:tr w:rsidR="00566431" w:rsidTr="00DB6CA1">
        <w:trPr>
          <w:trHeight w:val="97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Red.</w:t>
            </w:r>
            <w:r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Vrsta zajmova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Stanje zajma 1.1.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Primljene  otplate  glavnice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Dani zajmovi u tekućoj godini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Stanje zajma           31. 12.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Revalorizacija/ tečajne razlike u tekućoj godini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izdavanja zajma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Datum dospijeća zajma</w:t>
            </w:r>
          </w:p>
        </w:tc>
      </w:tr>
      <w:tr w:rsidR="00DB6CA1" w:rsidTr="00DB6CA1">
        <w:trPr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CA1" w:rsidRDefault="00DB6CA1" w:rsidP="00DB6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CA1" w:rsidRDefault="00DB6CA1" w:rsidP="00DB6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Tuzemni kratkoročni zajmovi</w:t>
            </w:r>
          </w:p>
        </w:tc>
        <w:tc>
          <w:tcPr>
            <w:tcW w:w="208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B6CA1" w:rsidRDefault="00F72764" w:rsidP="00DB6CA1">
            <w:pPr>
              <w:rPr>
                <w:sz w:val="22"/>
                <w:szCs w:val="22"/>
              </w:rPr>
            </w:pPr>
            <w:r w:rsidRPr="00A77430">
              <w:rPr>
                <w:sz w:val="22"/>
                <w:szCs w:val="22"/>
              </w:rPr>
              <w:t>Komunalno trgovačko društvo Šodolovci d.o.o.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CA1" w:rsidRDefault="00DB6CA1" w:rsidP="00DB6C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31.12.17</w:t>
            </w:r>
          </w:p>
        </w:tc>
      </w:tr>
      <w:tr w:rsidR="00A77430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430" w:rsidRDefault="00A77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430" w:rsidRDefault="00A7743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77430" w:rsidRDefault="00A77430" w:rsidP="00DD1B5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A77430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430" w:rsidRDefault="00A7743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7430" w:rsidRDefault="00A77430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430" w:rsidRDefault="00A7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B6CA1" w:rsidTr="00DD1B5B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CA1" w:rsidRDefault="00DB6CA1" w:rsidP="00DB6CA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CA1" w:rsidRDefault="00DB6CA1" w:rsidP="00DB6CA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CA1" w:rsidRDefault="00DB6CA1" w:rsidP="00DB6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4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DB6CA1" w:rsidRDefault="00DB6CA1" w:rsidP="00DB6C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Tuzemni dugoročni zajmovi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DB6CA1" w:rsidTr="00DD1B5B">
        <w:trPr>
          <w:trHeight w:val="300"/>
          <w:jc w:val="center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6CA1" w:rsidRDefault="00DB6CA1" w:rsidP="00DB6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 (1+2)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49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6CA1" w:rsidRDefault="00DB6CA1" w:rsidP="00DB6CA1">
            <w:pPr>
              <w:rPr>
                <w:sz w:val="22"/>
                <w:szCs w:val="22"/>
              </w:rPr>
            </w:pPr>
          </w:p>
        </w:tc>
      </w:tr>
      <w:tr w:rsidR="00566431" w:rsidTr="00DB6CA1">
        <w:trPr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Inozemni kratkoročni zajmovi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3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Inozemni dugoročni zajmovi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566431" w:rsidRDefault="0056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566431" w:rsidTr="00DB6CA1">
        <w:trPr>
          <w:trHeight w:val="300"/>
          <w:jc w:val="center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6431" w:rsidRDefault="0056643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 (3+4)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:rsidR="00566431" w:rsidRDefault="005664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Default="00566431">
            <w:pPr>
              <w:rPr>
                <w:sz w:val="22"/>
                <w:szCs w:val="22"/>
              </w:rPr>
            </w:pPr>
          </w:p>
        </w:tc>
      </w:tr>
      <w:tr w:rsidR="00DB6CA1" w:rsidTr="00DD1B5B">
        <w:trPr>
          <w:trHeight w:val="300"/>
          <w:jc w:val="center"/>
        </w:trPr>
        <w:tc>
          <w:tcPr>
            <w:tcW w:w="4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6CA1" w:rsidRDefault="00DB6CA1" w:rsidP="00DB6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UKUPNO (1+2+3+4)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hideMark/>
          </w:tcPr>
          <w:p w:rsidR="00DB6CA1" w:rsidRDefault="00DB6CA1" w:rsidP="00DB6CA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40.000,00 kn</w:t>
            </w:r>
          </w:p>
        </w:tc>
        <w:tc>
          <w:tcPr>
            <w:tcW w:w="4997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CA1" w:rsidRDefault="00DB6CA1" w:rsidP="00DB6CA1">
            <w:pPr>
              <w:rPr>
                <w:sz w:val="22"/>
                <w:szCs w:val="22"/>
              </w:rPr>
            </w:pPr>
          </w:p>
        </w:tc>
      </w:tr>
    </w:tbl>
    <w:p w:rsidR="00566431" w:rsidRDefault="00566431" w:rsidP="00566431">
      <w:pPr>
        <w:spacing w:line="360" w:lineRule="auto"/>
        <w:jc w:val="both"/>
      </w:pPr>
    </w:p>
    <w:tbl>
      <w:tblPr>
        <w:tblW w:w="16225" w:type="dxa"/>
        <w:jc w:val="center"/>
        <w:tblLook w:val="04A0" w:firstRow="1" w:lastRow="0" w:firstColumn="1" w:lastColumn="0" w:noHBand="0" w:noVBand="1"/>
      </w:tblPr>
      <w:tblGrid>
        <w:gridCol w:w="650"/>
        <w:gridCol w:w="1740"/>
        <w:gridCol w:w="1579"/>
        <w:gridCol w:w="1520"/>
        <w:gridCol w:w="1418"/>
        <w:gridCol w:w="1134"/>
        <w:gridCol w:w="1760"/>
        <w:gridCol w:w="1001"/>
        <w:gridCol w:w="1860"/>
        <w:gridCol w:w="1760"/>
        <w:gridCol w:w="1760"/>
        <w:gridCol w:w="43"/>
      </w:tblGrid>
      <w:tr w:rsidR="00566431" w:rsidRPr="00566431" w:rsidTr="00566431">
        <w:trPr>
          <w:trHeight w:val="42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155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Tablica 2:  Primljeni krediti i zajmovi te otplate</w:t>
            </w:r>
          </w:p>
        </w:tc>
      </w:tr>
      <w:tr w:rsidR="00566431" w:rsidRPr="00566431" w:rsidTr="00566431">
        <w:trPr>
          <w:gridAfter w:val="1"/>
          <w:wAfter w:w="43" w:type="dxa"/>
          <w:trHeight w:val="420"/>
          <w:jc w:val="center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1065"/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Red.</w:t>
            </w:r>
            <w:r w:rsidRPr="00566431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Vrsta kredita i zajmova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Naziv pravne osobe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Ugovorena valuta i iznos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Stanje kredita i zajma 1.1.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Otplate glavnice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Primljeni krediti i  zajmovi u tekućoj godini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Stanje kredita i zajma 31. 12.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Revalorizacija / tečajne razlike u tekućoj godini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 xml:space="preserve"> Datum primanja kredita i zajma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Datum dospijeća kredita i zajma</w:t>
            </w:r>
          </w:p>
        </w:tc>
      </w:tr>
      <w:tr w:rsidR="00566431" w:rsidRPr="00566431" w:rsidTr="00566431">
        <w:trPr>
          <w:gridAfter w:val="1"/>
          <w:wAfter w:w="43" w:type="dxa"/>
          <w:trHeight w:val="315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Tuzemni kratkoročni krediti i zajmovi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Tuzemni dugoročni krediti i zajmovi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 (1+2)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Inozemni kratkoročni krediti i zajmovi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Inozemni dugoročni krediti i zajmovi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 (3+4)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</w:tr>
      <w:tr w:rsidR="00566431" w:rsidRPr="00566431" w:rsidTr="00566431">
        <w:trPr>
          <w:gridAfter w:val="1"/>
          <w:wAfter w:w="43" w:type="dxa"/>
          <w:trHeight w:val="300"/>
          <w:jc w:val="center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 (1+2+3+4)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0"/>
                <w:szCs w:val="20"/>
              </w:rPr>
            </w:pPr>
            <w:r w:rsidRPr="0056643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3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</w:tr>
    </w:tbl>
    <w:p w:rsidR="00566431" w:rsidRDefault="00566431" w:rsidP="00566431"/>
    <w:p w:rsidR="00566431" w:rsidRDefault="00566431" w:rsidP="00566431"/>
    <w:tbl>
      <w:tblPr>
        <w:tblW w:w="13325" w:type="dxa"/>
        <w:tblLook w:val="04A0" w:firstRow="1" w:lastRow="0" w:firstColumn="1" w:lastColumn="0" w:noHBand="0" w:noVBand="1"/>
      </w:tblPr>
      <w:tblGrid>
        <w:gridCol w:w="650"/>
        <w:gridCol w:w="1660"/>
        <w:gridCol w:w="3220"/>
        <w:gridCol w:w="3968"/>
        <w:gridCol w:w="1860"/>
        <w:gridCol w:w="1967"/>
      </w:tblGrid>
      <w:tr w:rsidR="00566431" w:rsidRPr="00566431" w:rsidTr="00566431">
        <w:trPr>
          <w:trHeight w:val="315"/>
        </w:trPr>
        <w:tc>
          <w:tcPr>
            <w:tcW w:w="133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lastRenderedPageBreak/>
              <w:t>Tablica 3: Primljeni robni zajmovi i financijski najmovi</w:t>
            </w:r>
          </w:p>
        </w:tc>
      </w:tr>
      <w:tr w:rsidR="00566431" w:rsidRPr="00566431" w:rsidTr="00566431">
        <w:trPr>
          <w:trHeight w:val="315"/>
        </w:trPr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</w:tr>
      <w:tr w:rsidR="00566431" w:rsidRPr="00566431" w:rsidTr="00566431">
        <w:trPr>
          <w:trHeight w:val="94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Red.</w:t>
            </w:r>
            <w:r w:rsidRPr="00566431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Robni zajmovi i financijski najmovi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Naziv pravne osobe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Opis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Stanje 1.1.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Stanje 31.12.</w:t>
            </w:r>
          </w:p>
        </w:tc>
      </w:tr>
      <w:tr w:rsidR="00566431" w:rsidRPr="00566431" w:rsidTr="00566431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</w:pPr>
            <w:r w:rsidRPr="00566431">
              <w:t>Primljeni robni zajmovi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</w:tr>
      <w:tr w:rsidR="00566431" w:rsidRPr="00566431" w:rsidTr="00566431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</w:tr>
      <w:tr w:rsidR="00566431" w:rsidRPr="00566431" w:rsidTr="00566431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</w:tr>
      <w:tr w:rsidR="00566431" w:rsidRPr="00566431" w:rsidTr="00566431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/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</w:p>
        </w:tc>
      </w:tr>
      <w:tr w:rsidR="00566431" w:rsidRPr="00566431" w:rsidTr="00566431">
        <w:trPr>
          <w:trHeight w:val="330"/>
        </w:trPr>
        <w:tc>
          <w:tcPr>
            <w:tcW w:w="6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</w:rPr>
            </w:pPr>
            <w:r w:rsidRPr="00566431">
              <w:rPr>
                <w:b/>
                <w:bCs/>
              </w:rPr>
              <w:t>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</w:pPr>
            <w:r w:rsidRPr="00566431">
              <w:t>Financijski najmovi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</w:tr>
      <w:tr w:rsidR="00566431" w:rsidRPr="00566431" w:rsidTr="00566431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</w:tr>
      <w:tr w:rsidR="00566431" w:rsidRPr="00566431" w:rsidTr="00566431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/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r w:rsidRPr="00566431">
              <w:t> </w:t>
            </w:r>
          </w:p>
        </w:tc>
      </w:tr>
      <w:tr w:rsidR="00566431" w:rsidRPr="00566431" w:rsidTr="00566431">
        <w:trPr>
          <w:trHeight w:val="315"/>
        </w:trPr>
        <w:tc>
          <w:tcPr>
            <w:tcW w:w="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/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 </w:t>
            </w:r>
          </w:p>
        </w:tc>
      </w:tr>
      <w:tr w:rsidR="00566431" w:rsidRPr="00566431" w:rsidTr="00566431">
        <w:trPr>
          <w:trHeight w:val="315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UKUPNO (1+2)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</w:rPr>
            </w:pPr>
            <w:r w:rsidRPr="00566431">
              <w:rPr>
                <w:b/>
                <w:bCs/>
              </w:rPr>
              <w:t>0</w:t>
            </w:r>
          </w:p>
        </w:tc>
      </w:tr>
    </w:tbl>
    <w:p w:rsidR="00566431" w:rsidRDefault="00566431" w:rsidP="00566431"/>
    <w:p w:rsidR="00566431" w:rsidRDefault="00566431" w:rsidP="00566431"/>
    <w:tbl>
      <w:tblPr>
        <w:tblW w:w="13200" w:type="dxa"/>
        <w:tblLook w:val="04A0" w:firstRow="1" w:lastRow="0" w:firstColumn="1" w:lastColumn="0" w:noHBand="0" w:noVBand="1"/>
      </w:tblPr>
      <w:tblGrid>
        <w:gridCol w:w="650"/>
        <w:gridCol w:w="2080"/>
        <w:gridCol w:w="546"/>
        <w:gridCol w:w="2340"/>
        <w:gridCol w:w="1880"/>
        <w:gridCol w:w="1960"/>
        <w:gridCol w:w="1940"/>
        <w:gridCol w:w="1900"/>
      </w:tblGrid>
      <w:tr w:rsidR="00566431" w:rsidRPr="00566431" w:rsidTr="00566431">
        <w:trPr>
          <w:trHeight w:val="405"/>
        </w:trPr>
        <w:tc>
          <w:tcPr>
            <w:tcW w:w="13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  <w:r w:rsidRPr="00566431">
              <w:rPr>
                <w:b/>
                <w:bCs/>
              </w:rPr>
              <w:t>Tablica 4: Dospjele kamate na kredite i zajmove</w:t>
            </w:r>
          </w:p>
        </w:tc>
      </w:tr>
      <w:tr w:rsidR="00566431" w:rsidRPr="00566431" w:rsidTr="00566431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b/>
                <w:bCs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6431" w:rsidRPr="00566431" w:rsidRDefault="00566431" w:rsidP="00566431">
            <w:pPr>
              <w:rPr>
                <w:sz w:val="20"/>
                <w:szCs w:val="20"/>
              </w:rPr>
            </w:pPr>
          </w:p>
        </w:tc>
      </w:tr>
      <w:tr w:rsidR="00566431" w:rsidRPr="00566431" w:rsidTr="00566431">
        <w:trPr>
          <w:trHeight w:val="5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Red.</w:t>
            </w:r>
            <w:r w:rsidRPr="00566431">
              <w:rPr>
                <w:b/>
                <w:bCs/>
                <w:sz w:val="22"/>
                <w:szCs w:val="22"/>
              </w:rPr>
              <w:br/>
              <w:t>br.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Kamate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Stanje 1.1.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Kamate dospjele u tekućoj godini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Kamate plaćene u tekućoj godini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Stanje 31.12.</w:t>
            </w:r>
          </w:p>
        </w:tc>
      </w:tr>
      <w:tr w:rsidR="00566431" w:rsidRPr="00566431" w:rsidTr="00566431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2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08080"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6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bottom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566431">
              <w:rPr>
                <w:b/>
                <w:bCs/>
                <w:color w:val="FFFFFF"/>
                <w:sz w:val="22"/>
                <w:szCs w:val="22"/>
              </w:rPr>
              <w:t>7=4+5-6</w:t>
            </w:r>
          </w:p>
        </w:tc>
      </w:tr>
      <w:tr w:rsidR="00566431" w:rsidRPr="00566431" w:rsidTr="00566431">
        <w:trPr>
          <w:trHeight w:val="37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 xml:space="preserve"> Kamate po primljenim kreditima i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1.1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1.2.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 (1.1+1.2)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trHeight w:val="300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Kamate po danim zajmovima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2.1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tuzemnim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431" w:rsidRPr="00566431" w:rsidRDefault="00566431" w:rsidP="00566431">
            <w:pPr>
              <w:jc w:val="center"/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2.2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inozemnim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  <w:r w:rsidRPr="00566431">
              <w:rPr>
                <w:sz w:val="22"/>
                <w:szCs w:val="22"/>
              </w:rPr>
              <w:t> </w:t>
            </w:r>
          </w:p>
        </w:tc>
      </w:tr>
      <w:tr w:rsidR="00566431" w:rsidRPr="00566431" w:rsidTr="00566431">
        <w:trPr>
          <w:trHeight w:val="30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431" w:rsidRPr="00566431" w:rsidRDefault="00566431" w:rsidP="00566431">
            <w:pPr>
              <w:rPr>
                <w:sz w:val="22"/>
                <w:szCs w:val="22"/>
              </w:rPr>
            </w:pP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6431" w:rsidRPr="00566431" w:rsidRDefault="00566431" w:rsidP="00566431">
            <w:pPr>
              <w:jc w:val="center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UKUPNO (2.1+2.2)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hideMark/>
          </w:tcPr>
          <w:p w:rsidR="00566431" w:rsidRPr="00566431" w:rsidRDefault="00566431" w:rsidP="00566431">
            <w:pPr>
              <w:jc w:val="right"/>
              <w:rPr>
                <w:b/>
                <w:bCs/>
                <w:sz w:val="22"/>
                <w:szCs w:val="22"/>
              </w:rPr>
            </w:pPr>
            <w:r w:rsidRPr="00566431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66431" w:rsidRDefault="00566431" w:rsidP="00566431">
      <w:pPr>
        <w:sectPr w:rsidR="00566431" w:rsidSect="0056643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E6736E" w:rsidRDefault="00E6736E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6736E" w:rsidRDefault="00E6736E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E6736E" w:rsidRDefault="00E6736E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450AD" w:rsidRDefault="00B450AD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A4BCD">
        <w:rPr>
          <w:rFonts w:eastAsiaTheme="minorHAnsi"/>
          <w:b/>
          <w:bCs/>
          <w:lang w:eastAsia="en-US"/>
        </w:rPr>
        <w:t>III. BILJEŠKE UZ IZVJEŠTAJ O PRIHODIMA I RASHODIMA, PRIMICIMA I</w:t>
      </w:r>
      <w:r w:rsidR="00A45F81">
        <w:rPr>
          <w:rFonts w:eastAsiaTheme="minorHAnsi"/>
          <w:b/>
          <w:bCs/>
          <w:lang w:eastAsia="en-US"/>
        </w:rPr>
        <w:t xml:space="preserve"> </w:t>
      </w:r>
      <w:r w:rsidRPr="001A4BCD">
        <w:rPr>
          <w:rFonts w:eastAsiaTheme="minorHAnsi"/>
          <w:b/>
          <w:bCs/>
          <w:lang w:eastAsia="en-US"/>
        </w:rPr>
        <w:t>IZDACIM (PR-RAS)</w:t>
      </w:r>
    </w:p>
    <w:p w:rsidR="00A45F81" w:rsidRPr="001A4BCD" w:rsidRDefault="00A45F81" w:rsidP="00A45F81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B450AD" w:rsidRPr="001A4BCD" w:rsidRDefault="008A6DEC" w:rsidP="00B450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BCD">
        <w:rPr>
          <w:rFonts w:eastAsiaTheme="minorHAnsi"/>
          <w:b/>
          <w:i/>
          <w:lang w:eastAsia="en-US"/>
        </w:rPr>
        <w:t xml:space="preserve">Bilješka uz AOP </w:t>
      </w:r>
      <w:r w:rsidR="0002652E">
        <w:rPr>
          <w:rFonts w:eastAsiaTheme="minorHAnsi"/>
          <w:b/>
          <w:i/>
          <w:lang w:eastAsia="en-US"/>
        </w:rPr>
        <w:t>629</w:t>
      </w:r>
      <w:r>
        <w:rPr>
          <w:rFonts w:eastAsiaTheme="minorHAnsi"/>
          <w:b/>
          <w:i/>
          <w:lang w:eastAsia="en-US"/>
        </w:rPr>
        <w:t>:</w:t>
      </w:r>
      <w:r w:rsidRPr="001A4BCD">
        <w:rPr>
          <w:rFonts w:eastAsiaTheme="minorHAnsi"/>
          <w:b/>
          <w:i/>
          <w:lang w:eastAsia="en-US"/>
        </w:rPr>
        <w:t xml:space="preserve"> </w:t>
      </w:r>
      <w:r w:rsidR="00B450AD" w:rsidRPr="001A4BCD">
        <w:rPr>
          <w:rFonts w:eastAsiaTheme="minorHAnsi"/>
          <w:lang w:eastAsia="en-US"/>
        </w:rPr>
        <w:t xml:space="preserve">Ukupni prihodi i primici </w:t>
      </w:r>
      <w:r w:rsidR="00CB503A">
        <w:rPr>
          <w:rFonts w:eastAsiaTheme="minorHAnsi"/>
          <w:lang w:eastAsia="en-US"/>
        </w:rPr>
        <w:t xml:space="preserve">u razdoblju od 01. siječnja do 31. prosinca 2017. godine </w:t>
      </w:r>
      <w:r w:rsidR="00B450AD" w:rsidRPr="001A4BCD">
        <w:rPr>
          <w:rFonts w:eastAsiaTheme="minorHAnsi"/>
          <w:lang w:eastAsia="en-US"/>
        </w:rPr>
        <w:t xml:space="preserve">ostvareni su u iznosu od </w:t>
      </w:r>
      <w:r w:rsidR="005E0C28">
        <w:rPr>
          <w:rFonts w:eastAsiaTheme="minorHAnsi"/>
          <w:lang w:eastAsia="en-US"/>
        </w:rPr>
        <w:t>4.237.337</w:t>
      </w:r>
      <w:r w:rsidR="00B450AD" w:rsidRPr="001A4BCD">
        <w:rPr>
          <w:rFonts w:eastAsiaTheme="minorHAnsi"/>
          <w:lang w:eastAsia="en-US"/>
        </w:rPr>
        <w:t xml:space="preserve"> </w:t>
      </w:r>
      <w:r w:rsidR="00584B55">
        <w:rPr>
          <w:rFonts w:eastAsiaTheme="minorHAnsi"/>
          <w:lang w:eastAsia="en-US"/>
        </w:rPr>
        <w:t>kn</w:t>
      </w:r>
      <w:r w:rsidR="00B450AD" w:rsidRPr="001A4BCD">
        <w:rPr>
          <w:rFonts w:eastAsiaTheme="minorHAnsi"/>
          <w:lang w:eastAsia="en-US"/>
        </w:rPr>
        <w:t xml:space="preserve"> š</w:t>
      </w:r>
      <w:r w:rsidR="00B450AD">
        <w:rPr>
          <w:rFonts w:eastAsiaTheme="minorHAnsi"/>
          <w:lang w:eastAsia="en-US"/>
        </w:rPr>
        <w:t xml:space="preserve">to pokazuje </w:t>
      </w:r>
      <w:r w:rsidR="00A45F81">
        <w:rPr>
          <w:rFonts w:eastAsiaTheme="minorHAnsi"/>
          <w:lang w:eastAsia="en-US"/>
        </w:rPr>
        <w:t>porast</w:t>
      </w:r>
      <w:r w:rsidR="00B450AD">
        <w:rPr>
          <w:rFonts w:eastAsiaTheme="minorHAnsi"/>
          <w:lang w:eastAsia="en-US"/>
        </w:rPr>
        <w:t xml:space="preserve"> za </w:t>
      </w:r>
      <w:r w:rsidR="005E0C28">
        <w:rPr>
          <w:rFonts w:eastAsiaTheme="minorHAnsi"/>
          <w:lang w:eastAsia="en-US"/>
        </w:rPr>
        <w:t>6,40</w:t>
      </w:r>
      <w:r w:rsidR="00A45F81">
        <w:rPr>
          <w:rFonts w:eastAsiaTheme="minorHAnsi"/>
          <w:lang w:eastAsia="en-US"/>
        </w:rPr>
        <w:t xml:space="preserve"> </w:t>
      </w:r>
      <w:r w:rsidR="00B450AD">
        <w:rPr>
          <w:rFonts w:eastAsiaTheme="minorHAnsi"/>
          <w:lang w:eastAsia="en-US"/>
        </w:rPr>
        <w:t xml:space="preserve">% u </w:t>
      </w:r>
      <w:r w:rsidR="007A0C16">
        <w:rPr>
          <w:rFonts w:eastAsiaTheme="minorHAnsi"/>
          <w:lang w:eastAsia="en-US"/>
        </w:rPr>
        <w:t>odnosu na 201</w:t>
      </w:r>
      <w:r w:rsidR="00CB503A">
        <w:rPr>
          <w:rFonts w:eastAsiaTheme="minorHAnsi"/>
          <w:lang w:eastAsia="en-US"/>
        </w:rPr>
        <w:t>6</w:t>
      </w:r>
      <w:r w:rsidR="00B450AD" w:rsidRPr="001A4BCD">
        <w:rPr>
          <w:rFonts w:eastAsiaTheme="minorHAnsi"/>
          <w:lang w:eastAsia="en-US"/>
        </w:rPr>
        <w:t>. godinu.</w:t>
      </w:r>
    </w:p>
    <w:p w:rsidR="00566431" w:rsidRDefault="00566431" w:rsidP="00566431"/>
    <w:p w:rsidR="00C16C77" w:rsidRDefault="00CB503A" w:rsidP="00C16C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U</w:t>
      </w:r>
      <w:r w:rsidR="00020B8B">
        <w:rPr>
          <w:rFonts w:eastAsiaTheme="minorHAnsi"/>
          <w:lang w:eastAsia="en-US"/>
        </w:rPr>
        <w:t xml:space="preserve"> 201</w:t>
      </w:r>
      <w:r>
        <w:rPr>
          <w:rFonts w:eastAsiaTheme="minorHAnsi"/>
          <w:lang w:eastAsia="en-US"/>
        </w:rPr>
        <w:t>7</w:t>
      </w:r>
      <w:r w:rsidR="00C16C77">
        <w:rPr>
          <w:rFonts w:eastAsiaTheme="minorHAnsi"/>
          <w:lang w:eastAsia="en-US"/>
        </w:rPr>
        <w:t>. godini</w:t>
      </w:r>
      <w:r>
        <w:rPr>
          <w:rFonts w:eastAsiaTheme="minorHAnsi"/>
          <w:lang w:eastAsia="en-US"/>
        </w:rPr>
        <w:t xml:space="preserve"> najveći udio u ukupnim prihodima </w:t>
      </w:r>
      <w:r w:rsidR="00C16C77">
        <w:rPr>
          <w:rFonts w:eastAsiaTheme="minorHAnsi"/>
          <w:lang w:eastAsia="en-US"/>
        </w:rPr>
        <w:t>čine prihodi</w:t>
      </w:r>
      <w:r w:rsidR="00462A4E">
        <w:rPr>
          <w:rFonts w:eastAsiaTheme="minorHAnsi"/>
          <w:lang w:eastAsia="en-US"/>
        </w:rPr>
        <w:t xml:space="preserve"> </w:t>
      </w:r>
      <w:r w:rsidR="00C16C77">
        <w:rPr>
          <w:rFonts w:eastAsiaTheme="minorHAnsi"/>
          <w:lang w:eastAsia="en-US"/>
        </w:rPr>
        <w:t xml:space="preserve">poslovanja koji obuhvaćaju prihode od poreza, pomoći, prihode od imovine, </w:t>
      </w:r>
      <w:r w:rsidR="00F46073">
        <w:rPr>
          <w:rFonts w:eastAsiaTheme="minorHAnsi"/>
          <w:lang w:eastAsia="en-US"/>
        </w:rPr>
        <w:t xml:space="preserve">prihode od upravnih pristojbi i </w:t>
      </w:r>
      <w:r w:rsidR="00C16C77">
        <w:rPr>
          <w:rFonts w:eastAsiaTheme="minorHAnsi"/>
          <w:lang w:eastAsia="en-US"/>
        </w:rPr>
        <w:t>po posebnim propisima te druge prihode poslovanja. Udio prihoda poslovanja u ukupnim prihodim</w:t>
      </w:r>
      <w:r w:rsidR="00F46073">
        <w:rPr>
          <w:rFonts w:eastAsiaTheme="minorHAnsi"/>
          <w:lang w:eastAsia="en-US"/>
        </w:rPr>
        <w:t xml:space="preserve">a i </w:t>
      </w:r>
      <w:r w:rsidR="00C16C77">
        <w:rPr>
          <w:rFonts w:eastAsiaTheme="minorHAnsi"/>
          <w:lang w:eastAsia="en-US"/>
        </w:rPr>
        <w:t xml:space="preserve">primicima iznosi </w:t>
      </w:r>
      <w:r w:rsidR="005E0C28">
        <w:rPr>
          <w:rFonts w:eastAsiaTheme="minorHAnsi"/>
          <w:lang w:eastAsia="en-US"/>
        </w:rPr>
        <w:t>85,64</w:t>
      </w:r>
      <w:r w:rsidR="00C16C77">
        <w:rPr>
          <w:rFonts w:eastAsiaTheme="minorHAnsi"/>
          <w:lang w:eastAsia="en-US"/>
        </w:rPr>
        <w:t>%.</w:t>
      </w:r>
    </w:p>
    <w:p w:rsidR="004478C5" w:rsidRDefault="004478C5" w:rsidP="00D42A6C">
      <w:pPr>
        <w:pStyle w:val="BodyText"/>
        <w:rPr>
          <w:rFonts w:ascii="Times New Roman" w:eastAsiaTheme="minorHAnsi" w:hAnsi="Times New Roman" w:cs="Times New Roman"/>
          <w:b/>
          <w:i/>
        </w:rPr>
      </w:pPr>
    </w:p>
    <w:p w:rsidR="004478C5" w:rsidRDefault="004478C5" w:rsidP="00D42A6C">
      <w:pPr>
        <w:pStyle w:val="BodyText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b/>
          <w:i/>
        </w:rPr>
        <w:t>Bilješke uz AOP 00</w:t>
      </w:r>
      <w:r w:rsidR="00402AEC">
        <w:rPr>
          <w:rFonts w:ascii="Times New Roman" w:eastAsiaTheme="minorHAnsi" w:hAnsi="Times New Roman" w:cs="Times New Roman"/>
          <w:b/>
          <w:i/>
        </w:rPr>
        <w:t>2</w:t>
      </w:r>
      <w:r w:rsidR="00402AEC">
        <w:rPr>
          <w:rFonts w:ascii="Times New Roman" w:eastAsiaTheme="minorHAnsi" w:hAnsi="Times New Roman" w:cs="Times New Roman"/>
        </w:rPr>
        <w:t xml:space="preserve">: Prihodi od poreza u izvještajnom razdoblju prikazuju </w:t>
      </w:r>
      <w:r w:rsidR="005E0C28">
        <w:rPr>
          <w:rFonts w:ascii="Times New Roman" w:eastAsiaTheme="minorHAnsi" w:hAnsi="Times New Roman" w:cs="Times New Roman"/>
        </w:rPr>
        <w:t>porast za 17,20</w:t>
      </w:r>
      <w:r w:rsidR="00402AEC">
        <w:rPr>
          <w:rFonts w:ascii="Times New Roman" w:eastAsiaTheme="minorHAnsi" w:hAnsi="Times New Roman" w:cs="Times New Roman"/>
        </w:rPr>
        <w:t xml:space="preserve"> % u odnosu na prethodnu, 2016. godinu. Najveći je </w:t>
      </w:r>
      <w:r w:rsidR="005E0C28">
        <w:rPr>
          <w:rFonts w:ascii="Times New Roman" w:eastAsiaTheme="minorHAnsi" w:hAnsi="Times New Roman" w:cs="Times New Roman"/>
        </w:rPr>
        <w:t>porast</w:t>
      </w:r>
      <w:r w:rsidR="00402AEC">
        <w:rPr>
          <w:rFonts w:ascii="Times New Roman" w:eastAsiaTheme="minorHAnsi" w:hAnsi="Times New Roman" w:cs="Times New Roman"/>
        </w:rPr>
        <w:t xml:space="preserve"> zabilježen u okviru podskupine konta </w:t>
      </w:r>
      <w:r w:rsidR="005E0C28">
        <w:rPr>
          <w:rFonts w:ascii="Times New Roman" w:eastAsiaTheme="minorHAnsi" w:hAnsi="Times New Roman" w:cs="Times New Roman"/>
        </w:rPr>
        <w:t>poreza na promet nekretninama.</w:t>
      </w:r>
    </w:p>
    <w:p w:rsidR="00402AEC" w:rsidRDefault="00402AEC" w:rsidP="00D42A6C">
      <w:pPr>
        <w:pStyle w:val="BodyText"/>
        <w:rPr>
          <w:rFonts w:ascii="Times New Roman" w:eastAsiaTheme="minorHAnsi" w:hAnsi="Times New Roman" w:cs="Times New Roman"/>
          <w:b/>
          <w:i/>
        </w:rPr>
      </w:pPr>
    </w:p>
    <w:p w:rsidR="00402AEC" w:rsidRDefault="00402AEC" w:rsidP="00402AEC">
      <w:pPr>
        <w:pStyle w:val="BodyText"/>
        <w:rPr>
          <w:rFonts w:ascii="Times New Roman" w:eastAsiaTheme="minorHAnsi" w:hAnsi="Times New Roman" w:cs="Times New Roman"/>
          <w:b/>
          <w:i/>
        </w:rPr>
      </w:pPr>
      <w:r>
        <w:rPr>
          <w:rFonts w:ascii="Times New Roman" w:eastAsiaTheme="minorHAnsi" w:hAnsi="Times New Roman" w:cs="Times New Roman"/>
          <w:b/>
          <w:i/>
        </w:rPr>
        <w:t>Bilješke uz AOP 045</w:t>
      </w:r>
      <w:r>
        <w:rPr>
          <w:rFonts w:ascii="Times New Roman" w:eastAsiaTheme="minorHAnsi" w:hAnsi="Times New Roman" w:cs="Times New Roman"/>
        </w:rPr>
        <w:t xml:space="preserve">: Prihodi od pomoći iz inozemstva i od subjekata unutar općeg proračuna u izvještajnom razdoblju prikazuju </w:t>
      </w:r>
      <w:r w:rsidR="005A5580">
        <w:rPr>
          <w:rFonts w:ascii="Times New Roman" w:eastAsiaTheme="minorHAnsi" w:hAnsi="Times New Roman" w:cs="Times New Roman"/>
        </w:rPr>
        <w:t xml:space="preserve">porast za </w:t>
      </w:r>
      <w:r w:rsidR="00DD1B5B">
        <w:rPr>
          <w:rFonts w:ascii="Times New Roman" w:eastAsiaTheme="minorHAnsi" w:hAnsi="Times New Roman" w:cs="Times New Roman"/>
        </w:rPr>
        <w:t>36,00</w:t>
      </w:r>
      <w:r>
        <w:rPr>
          <w:rFonts w:ascii="Times New Roman" w:eastAsiaTheme="minorHAnsi" w:hAnsi="Times New Roman" w:cs="Times New Roman"/>
        </w:rPr>
        <w:t xml:space="preserve"> % u odnosu na prethodnu, 2016. godinu. </w:t>
      </w:r>
      <w:r w:rsidR="00AB3405">
        <w:rPr>
          <w:rFonts w:ascii="Times New Roman" w:eastAsiaTheme="minorHAnsi" w:hAnsi="Times New Roman" w:cs="Times New Roman"/>
        </w:rPr>
        <w:t xml:space="preserve">Najveći porast zabilježen je u okviru pomoći </w:t>
      </w:r>
      <w:r w:rsidR="00DD1B5B">
        <w:rPr>
          <w:rFonts w:ascii="Times New Roman" w:eastAsiaTheme="minorHAnsi" w:hAnsi="Times New Roman" w:cs="Times New Roman"/>
        </w:rPr>
        <w:t>iz državnog proračuna i Osječko baranjske županije.</w:t>
      </w:r>
    </w:p>
    <w:p w:rsidR="00E6736E" w:rsidRPr="007A7BA7" w:rsidRDefault="00E6736E" w:rsidP="007A7BA7">
      <w:pPr>
        <w:pStyle w:val="BodyText"/>
      </w:pPr>
    </w:p>
    <w:p w:rsidR="00A02CA4" w:rsidRDefault="00C37FF2" w:rsidP="00C16C77">
      <w:pPr>
        <w:jc w:val="both"/>
        <w:rPr>
          <w:rFonts w:eastAsiaTheme="minorHAnsi"/>
          <w:lang w:eastAsia="en-US"/>
        </w:rPr>
      </w:pPr>
      <w:r w:rsidRPr="007A7BA7">
        <w:rPr>
          <w:rFonts w:eastAsiaTheme="minorHAnsi"/>
          <w:b/>
          <w:i/>
        </w:rPr>
        <w:t>Bilješke uz AOP 07</w:t>
      </w:r>
      <w:r w:rsidR="009B5901">
        <w:rPr>
          <w:rFonts w:eastAsiaTheme="minorHAnsi"/>
          <w:b/>
          <w:i/>
        </w:rPr>
        <w:t xml:space="preserve">4: </w:t>
      </w:r>
      <w:r w:rsidR="00A02CA4">
        <w:rPr>
          <w:rFonts w:eastAsiaTheme="minorHAnsi"/>
        </w:rPr>
        <w:t xml:space="preserve">Prihodi od imovine u izvještajnom razdoblju </w:t>
      </w:r>
      <w:r w:rsidR="009B5901">
        <w:rPr>
          <w:rFonts w:eastAsiaTheme="minorHAnsi"/>
        </w:rPr>
        <w:t>bilježe pad</w:t>
      </w:r>
      <w:r w:rsidR="00A02CA4">
        <w:rPr>
          <w:rFonts w:eastAsiaTheme="minorHAnsi"/>
        </w:rPr>
        <w:t xml:space="preserve"> za </w:t>
      </w:r>
      <w:r w:rsidR="009B5901">
        <w:rPr>
          <w:rFonts w:eastAsiaTheme="minorHAnsi"/>
        </w:rPr>
        <w:t>24,90</w:t>
      </w:r>
      <w:r w:rsidR="00A02CA4">
        <w:rPr>
          <w:rFonts w:eastAsiaTheme="minorHAnsi"/>
        </w:rPr>
        <w:t xml:space="preserve"> % u odnosu na 201</w:t>
      </w:r>
      <w:r w:rsidR="009B5901">
        <w:rPr>
          <w:rFonts w:eastAsiaTheme="minorHAnsi"/>
        </w:rPr>
        <w:t>6</w:t>
      </w:r>
      <w:r w:rsidR="00A02CA4">
        <w:rPr>
          <w:rFonts w:eastAsiaTheme="minorHAnsi"/>
        </w:rPr>
        <w:t xml:space="preserve">. godinu, odnosno za </w:t>
      </w:r>
      <w:r w:rsidR="009B5901">
        <w:rPr>
          <w:rFonts w:eastAsiaTheme="minorHAnsi"/>
        </w:rPr>
        <w:t>43.582</w:t>
      </w:r>
      <w:r w:rsidR="00A02CA4">
        <w:rPr>
          <w:rFonts w:eastAsiaTheme="minorHAnsi"/>
        </w:rPr>
        <w:t xml:space="preserve"> kn. </w:t>
      </w:r>
      <w:r w:rsidR="00D42A6C" w:rsidRPr="007A7BA7">
        <w:rPr>
          <w:rFonts w:eastAsiaTheme="minorHAnsi"/>
          <w:lang w:eastAsia="en-US"/>
        </w:rPr>
        <w:t>Postotno značajniji p</w:t>
      </w:r>
      <w:r w:rsidR="009B5901">
        <w:rPr>
          <w:rFonts w:eastAsiaTheme="minorHAnsi"/>
          <w:lang w:eastAsia="en-US"/>
        </w:rPr>
        <w:t>ad</w:t>
      </w:r>
      <w:r w:rsidR="00D42A6C" w:rsidRPr="007A7BA7">
        <w:rPr>
          <w:rFonts w:eastAsiaTheme="minorHAnsi"/>
          <w:lang w:eastAsia="en-US"/>
        </w:rPr>
        <w:t xml:space="preserve"> bilježe prihodi </w:t>
      </w:r>
      <w:r w:rsidR="009B5901">
        <w:rPr>
          <w:rFonts w:eastAsiaTheme="minorHAnsi"/>
          <w:lang w:eastAsia="en-US"/>
        </w:rPr>
        <w:t>legalizacije</w:t>
      </w:r>
      <w:r w:rsidR="00D42A6C" w:rsidRPr="007A7BA7">
        <w:rPr>
          <w:rFonts w:eastAsiaTheme="minorHAnsi"/>
          <w:lang w:eastAsia="en-US"/>
        </w:rPr>
        <w:t xml:space="preserve">. </w:t>
      </w:r>
    </w:p>
    <w:p w:rsidR="00ED0764" w:rsidRPr="00A02CA4" w:rsidRDefault="00ED0764" w:rsidP="00ED0764">
      <w:pPr>
        <w:jc w:val="both"/>
        <w:rPr>
          <w:rFonts w:eastAsiaTheme="minorHAnsi"/>
          <w:lang w:eastAsia="en-US"/>
        </w:rPr>
      </w:pPr>
    </w:p>
    <w:p w:rsidR="00ED0764" w:rsidRDefault="001752F1" w:rsidP="00ED0764">
      <w:pPr>
        <w:jc w:val="both"/>
        <w:rPr>
          <w:rFonts w:eastAsiaTheme="minorHAnsi"/>
        </w:rPr>
      </w:pPr>
      <w:r w:rsidRPr="00A02CA4">
        <w:rPr>
          <w:rFonts w:eastAsiaTheme="minorHAnsi"/>
          <w:b/>
          <w:i/>
        </w:rPr>
        <w:t>Bilješke uz AOP 10</w:t>
      </w:r>
      <w:r w:rsidR="009B5901">
        <w:rPr>
          <w:rFonts w:eastAsiaTheme="minorHAnsi"/>
          <w:b/>
          <w:i/>
        </w:rPr>
        <w:t xml:space="preserve">5: </w:t>
      </w:r>
      <w:r w:rsidRPr="00A02CA4">
        <w:rPr>
          <w:rFonts w:eastAsiaTheme="minorHAnsi"/>
        </w:rPr>
        <w:t xml:space="preserve">Prihodi od upravnih i administrativnih pristojbi, pristojbi po posebnim propisima i naknadama bilježe </w:t>
      </w:r>
      <w:r w:rsidR="00D857FC">
        <w:rPr>
          <w:rFonts w:eastAsiaTheme="minorHAnsi"/>
        </w:rPr>
        <w:t>pad</w:t>
      </w:r>
      <w:r w:rsidRPr="00A02CA4">
        <w:rPr>
          <w:rFonts w:eastAsiaTheme="minorHAnsi"/>
        </w:rPr>
        <w:t xml:space="preserve"> u izvještajnom razdoblju za </w:t>
      </w:r>
      <w:r w:rsidR="00D857FC">
        <w:rPr>
          <w:rFonts w:eastAsiaTheme="minorHAnsi"/>
        </w:rPr>
        <w:t>41,20</w:t>
      </w:r>
      <w:r w:rsidRPr="00A02CA4">
        <w:rPr>
          <w:rFonts w:eastAsiaTheme="minorHAnsi"/>
        </w:rPr>
        <w:t xml:space="preserve"> % u odnosu na 201</w:t>
      </w:r>
      <w:r w:rsidR="009B5901">
        <w:rPr>
          <w:rFonts w:eastAsiaTheme="minorHAnsi"/>
        </w:rPr>
        <w:t>6</w:t>
      </w:r>
      <w:r w:rsidRPr="00A02CA4">
        <w:rPr>
          <w:rFonts w:eastAsiaTheme="minorHAnsi"/>
        </w:rPr>
        <w:t xml:space="preserve">. godinu. Do značajnijih razlika došlo je u okviru konta </w:t>
      </w:r>
      <w:r w:rsidR="00D857FC">
        <w:rPr>
          <w:rFonts w:eastAsiaTheme="minorHAnsi"/>
        </w:rPr>
        <w:t>prihoda vodnog gospodarstva</w:t>
      </w:r>
      <w:r w:rsidR="00F466DD" w:rsidRPr="00A02CA4">
        <w:rPr>
          <w:rFonts w:eastAsiaTheme="minorHAnsi"/>
        </w:rPr>
        <w:t xml:space="preserve">. U </w:t>
      </w:r>
      <w:r w:rsidRPr="00A02CA4">
        <w:rPr>
          <w:rFonts w:eastAsiaTheme="minorHAnsi"/>
        </w:rPr>
        <w:t>201</w:t>
      </w:r>
      <w:r w:rsidR="009B5901">
        <w:rPr>
          <w:rFonts w:eastAsiaTheme="minorHAnsi"/>
        </w:rPr>
        <w:t>6</w:t>
      </w:r>
      <w:r w:rsidRPr="00A02CA4">
        <w:rPr>
          <w:rFonts w:eastAsiaTheme="minorHAnsi"/>
        </w:rPr>
        <w:t xml:space="preserve">. godini </w:t>
      </w:r>
      <w:r w:rsidR="009B5901">
        <w:rPr>
          <w:rFonts w:eastAsiaTheme="minorHAnsi"/>
        </w:rPr>
        <w:t xml:space="preserve">ti su prihodi realizirani u iznosu od </w:t>
      </w:r>
      <w:r w:rsidR="00D857FC">
        <w:rPr>
          <w:rFonts w:eastAsiaTheme="minorHAnsi"/>
        </w:rPr>
        <w:t>173.742</w:t>
      </w:r>
      <w:r w:rsidR="009B5901">
        <w:rPr>
          <w:rFonts w:eastAsiaTheme="minorHAnsi"/>
        </w:rPr>
        <w:t xml:space="preserve"> kn. U razdoblju od 01. siječnja do 31. prosinca 2017. godine prihodi od </w:t>
      </w:r>
      <w:r w:rsidR="00D857FC">
        <w:rPr>
          <w:rFonts w:eastAsiaTheme="minorHAnsi"/>
        </w:rPr>
        <w:t>vodnog gospodarstva</w:t>
      </w:r>
      <w:r w:rsidR="00AF05B0">
        <w:rPr>
          <w:rFonts w:eastAsiaTheme="minorHAnsi"/>
        </w:rPr>
        <w:t xml:space="preserve"> realizirani </w:t>
      </w:r>
      <w:r w:rsidR="00D857FC">
        <w:rPr>
          <w:rFonts w:eastAsiaTheme="minorHAnsi"/>
        </w:rPr>
        <w:t xml:space="preserve">su </w:t>
      </w:r>
      <w:r w:rsidR="00AF05B0">
        <w:rPr>
          <w:rFonts w:eastAsiaTheme="minorHAnsi"/>
        </w:rPr>
        <w:t xml:space="preserve">u iznosu od </w:t>
      </w:r>
      <w:r w:rsidR="00D857FC">
        <w:rPr>
          <w:rFonts w:eastAsiaTheme="minorHAnsi"/>
        </w:rPr>
        <w:t>137.214</w:t>
      </w:r>
      <w:r w:rsidR="00AF05B0">
        <w:rPr>
          <w:rFonts w:eastAsiaTheme="minorHAnsi"/>
        </w:rPr>
        <w:t xml:space="preserve"> kn.</w:t>
      </w:r>
    </w:p>
    <w:p w:rsidR="00D857FC" w:rsidRDefault="00D857FC" w:rsidP="00ED0764">
      <w:pPr>
        <w:jc w:val="both"/>
        <w:rPr>
          <w:rFonts w:eastAsiaTheme="minorHAnsi"/>
        </w:rPr>
      </w:pPr>
    </w:p>
    <w:p w:rsidR="00D857FC" w:rsidRDefault="00D857FC" w:rsidP="00D857FC">
      <w:pPr>
        <w:jc w:val="both"/>
        <w:rPr>
          <w:rFonts w:eastAsiaTheme="minorHAnsi"/>
        </w:rPr>
      </w:pPr>
      <w:r>
        <w:rPr>
          <w:rFonts w:eastAsiaTheme="minorHAnsi"/>
        </w:rPr>
        <w:t>Značajnije razlike također bilježi i konto ostale pristojbe i naknade</w:t>
      </w:r>
      <w:r w:rsidRPr="00A02CA4">
        <w:rPr>
          <w:rFonts w:eastAsiaTheme="minorHAnsi"/>
        </w:rPr>
        <w:t>. U 201</w:t>
      </w:r>
      <w:r>
        <w:rPr>
          <w:rFonts w:eastAsiaTheme="minorHAnsi"/>
        </w:rPr>
        <w:t>6</w:t>
      </w:r>
      <w:r w:rsidRPr="00A02CA4">
        <w:rPr>
          <w:rFonts w:eastAsiaTheme="minorHAnsi"/>
        </w:rPr>
        <w:t xml:space="preserve">. godini </w:t>
      </w:r>
      <w:r>
        <w:rPr>
          <w:rFonts w:eastAsiaTheme="minorHAnsi"/>
        </w:rPr>
        <w:t>ti su prihodi realizirani u iznosu od 225.021 kn. U razdoblju od 01. siječnja do 31. prosinca 2017. godine prihodi od vodnog gospodarstva realizirani su u iznosu od 45.004 kn. Navedeni se prihodi prvenstveno odnose na pravo služnosti Hrvatskog telekoma.</w:t>
      </w:r>
    </w:p>
    <w:p w:rsidR="00E93EB2" w:rsidRDefault="00E93EB2" w:rsidP="00ED0764">
      <w:pPr>
        <w:jc w:val="both"/>
        <w:rPr>
          <w:rFonts w:eastAsiaTheme="minorHAnsi"/>
        </w:rPr>
      </w:pPr>
    </w:p>
    <w:p w:rsidR="00E6736E" w:rsidRDefault="00EF6763" w:rsidP="00207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A4BCD">
        <w:rPr>
          <w:rFonts w:eastAsiaTheme="minorHAnsi"/>
          <w:b/>
          <w:i/>
          <w:lang w:eastAsia="en-US"/>
        </w:rPr>
        <w:t xml:space="preserve">Bilješka uz AOP </w:t>
      </w:r>
      <w:r>
        <w:rPr>
          <w:rFonts w:eastAsiaTheme="minorHAnsi"/>
          <w:b/>
          <w:i/>
          <w:lang w:eastAsia="en-US"/>
        </w:rPr>
        <w:t>630:</w:t>
      </w:r>
      <w:r w:rsidRPr="001A4BCD">
        <w:rPr>
          <w:rFonts w:eastAsiaTheme="minorHAnsi"/>
          <w:b/>
          <w:i/>
          <w:lang w:eastAsia="en-US"/>
        </w:rPr>
        <w:t xml:space="preserve"> </w:t>
      </w:r>
      <w:r w:rsidRPr="001A4BCD">
        <w:rPr>
          <w:rFonts w:eastAsiaTheme="minorHAnsi"/>
          <w:lang w:eastAsia="en-US"/>
        </w:rPr>
        <w:t xml:space="preserve">Ukupni rashodi i izdaci </w:t>
      </w:r>
      <w:r>
        <w:rPr>
          <w:rFonts w:eastAsiaTheme="minorHAnsi"/>
          <w:lang w:eastAsia="en-US"/>
        </w:rPr>
        <w:t xml:space="preserve">u razdoblju od 01. siječnja do 31. prosinca 2017. godine </w:t>
      </w:r>
      <w:r w:rsidRPr="001A4BCD">
        <w:rPr>
          <w:rFonts w:eastAsiaTheme="minorHAnsi"/>
          <w:lang w:eastAsia="en-US"/>
        </w:rPr>
        <w:t xml:space="preserve">ostvareni su u iznosu od </w:t>
      </w:r>
      <w:r w:rsidR="00D857FC">
        <w:rPr>
          <w:rFonts w:eastAsiaTheme="minorHAnsi"/>
          <w:lang w:eastAsia="en-US"/>
        </w:rPr>
        <w:t>4.212.933</w:t>
      </w:r>
      <w:r w:rsidRPr="001A4BC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kn</w:t>
      </w:r>
      <w:r w:rsidRPr="001A4BCD">
        <w:rPr>
          <w:rFonts w:eastAsiaTheme="minorHAnsi"/>
          <w:lang w:eastAsia="en-US"/>
        </w:rPr>
        <w:t xml:space="preserve"> što tak</w:t>
      </w:r>
      <w:r>
        <w:rPr>
          <w:rFonts w:eastAsiaTheme="minorHAnsi"/>
          <w:lang w:eastAsia="en-US"/>
        </w:rPr>
        <w:t xml:space="preserve">ođer pokazuje porast za </w:t>
      </w:r>
      <w:r w:rsidR="00D857FC">
        <w:rPr>
          <w:rFonts w:eastAsiaTheme="minorHAnsi"/>
          <w:lang w:eastAsia="en-US"/>
        </w:rPr>
        <w:t>21,7</w:t>
      </w:r>
      <w:r>
        <w:rPr>
          <w:rFonts w:eastAsiaTheme="minorHAnsi"/>
          <w:lang w:eastAsia="en-US"/>
        </w:rPr>
        <w:t>0 % u odnosu na 2016</w:t>
      </w:r>
      <w:r w:rsidRPr="001A4BCD">
        <w:rPr>
          <w:rFonts w:eastAsiaTheme="minorHAnsi"/>
          <w:lang w:eastAsia="en-US"/>
        </w:rPr>
        <w:t>. godinu.</w:t>
      </w:r>
    </w:p>
    <w:p w:rsidR="00E6736E" w:rsidRDefault="00E6736E" w:rsidP="00207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D1D63" w:rsidRDefault="00207ED6" w:rsidP="00207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7ED6">
        <w:rPr>
          <w:rFonts w:eastAsiaTheme="minorHAnsi"/>
          <w:lang w:eastAsia="en-US"/>
        </w:rPr>
        <w:t xml:space="preserve">Vrijednosno najznačajniji </w:t>
      </w:r>
      <w:r w:rsidR="008D1D63">
        <w:rPr>
          <w:rFonts w:eastAsiaTheme="minorHAnsi"/>
          <w:lang w:eastAsia="en-US"/>
        </w:rPr>
        <w:t>promjene u kate</w:t>
      </w:r>
      <w:r w:rsidR="00E55E4F">
        <w:rPr>
          <w:rFonts w:eastAsiaTheme="minorHAnsi"/>
          <w:lang w:eastAsia="en-US"/>
        </w:rPr>
        <w:t>goriji rashoda i izdataka u 201</w:t>
      </w:r>
      <w:r w:rsidR="00EF6763">
        <w:rPr>
          <w:rFonts w:eastAsiaTheme="minorHAnsi"/>
          <w:lang w:eastAsia="en-US"/>
        </w:rPr>
        <w:t>7</w:t>
      </w:r>
      <w:r w:rsidR="00E55E4F">
        <w:rPr>
          <w:rFonts w:eastAsiaTheme="minorHAnsi"/>
          <w:lang w:eastAsia="en-US"/>
        </w:rPr>
        <w:t>. godini u odnosu na 201</w:t>
      </w:r>
      <w:r w:rsidR="00EF6763">
        <w:rPr>
          <w:rFonts w:eastAsiaTheme="minorHAnsi"/>
          <w:lang w:eastAsia="en-US"/>
        </w:rPr>
        <w:t>6</w:t>
      </w:r>
      <w:r w:rsidR="008D1D63">
        <w:rPr>
          <w:rFonts w:eastAsiaTheme="minorHAnsi"/>
          <w:lang w:eastAsia="en-US"/>
        </w:rPr>
        <w:t>. godinu nastale su na sljedećim kategorijama:</w:t>
      </w:r>
    </w:p>
    <w:p w:rsidR="00EF6763" w:rsidRDefault="00EF6763" w:rsidP="00EF6763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8D2DCD" w:rsidRDefault="00EF6763" w:rsidP="00EF6763">
      <w:pPr>
        <w:autoSpaceDE w:val="0"/>
        <w:autoSpaceDN w:val="0"/>
        <w:adjustRightInd w:val="0"/>
        <w:jc w:val="both"/>
        <w:rPr>
          <w:color w:val="000000"/>
        </w:rPr>
      </w:pPr>
      <w:r w:rsidRPr="00F466DD">
        <w:rPr>
          <w:rFonts w:eastAsiaTheme="minorHAnsi"/>
          <w:b/>
          <w:i/>
          <w:lang w:eastAsia="en-US"/>
        </w:rPr>
        <w:t>Bilješke uz AOP 1</w:t>
      </w:r>
      <w:r>
        <w:rPr>
          <w:rFonts w:eastAsiaTheme="minorHAnsi"/>
          <w:b/>
          <w:i/>
          <w:lang w:eastAsia="en-US"/>
        </w:rPr>
        <w:t xml:space="preserve">60: </w:t>
      </w:r>
      <w:r>
        <w:rPr>
          <w:rFonts w:eastAsiaTheme="minorHAnsi"/>
          <w:lang w:eastAsia="en-US"/>
        </w:rPr>
        <w:t>Materijalni rashodi</w:t>
      </w:r>
      <w:r w:rsidRPr="002B3DA5">
        <w:rPr>
          <w:rFonts w:eastAsiaTheme="minorHAnsi"/>
          <w:lang w:eastAsia="en-US"/>
        </w:rPr>
        <w:t xml:space="preserve"> u 201</w:t>
      </w:r>
      <w:r>
        <w:rPr>
          <w:rFonts w:eastAsiaTheme="minorHAnsi"/>
          <w:lang w:eastAsia="en-US"/>
        </w:rPr>
        <w:t>7</w:t>
      </w:r>
      <w:r w:rsidRPr="002B3DA5">
        <w:rPr>
          <w:rFonts w:eastAsiaTheme="minorHAnsi"/>
          <w:lang w:eastAsia="en-US"/>
        </w:rPr>
        <w:t xml:space="preserve">. godini </w:t>
      </w:r>
      <w:r w:rsidR="008D2DCD">
        <w:rPr>
          <w:rFonts w:eastAsiaTheme="minorHAnsi"/>
          <w:lang w:eastAsia="en-US"/>
        </w:rPr>
        <w:t>bilježe pad</w:t>
      </w:r>
      <w:r w:rsidRPr="002B3DA5">
        <w:rPr>
          <w:rFonts w:eastAsiaTheme="minorHAnsi"/>
          <w:lang w:eastAsia="en-US"/>
        </w:rPr>
        <w:t xml:space="preserve"> za </w:t>
      </w:r>
      <w:r w:rsidR="008D2DCD">
        <w:rPr>
          <w:rFonts w:eastAsiaTheme="minorHAnsi"/>
          <w:lang w:eastAsia="en-US"/>
        </w:rPr>
        <w:t>6,40</w:t>
      </w:r>
      <w:r w:rsidRPr="002B3DA5">
        <w:rPr>
          <w:rFonts w:eastAsiaTheme="minorHAnsi"/>
          <w:lang w:eastAsia="en-US"/>
        </w:rPr>
        <w:t xml:space="preserve"> % u odnosu na 201</w:t>
      </w:r>
      <w:r>
        <w:rPr>
          <w:rFonts w:eastAsiaTheme="minorHAnsi"/>
          <w:lang w:eastAsia="en-US"/>
        </w:rPr>
        <w:t>6</w:t>
      </w:r>
      <w:r w:rsidRPr="002B3DA5">
        <w:rPr>
          <w:rFonts w:eastAsiaTheme="minorHAnsi"/>
          <w:lang w:eastAsia="en-US"/>
        </w:rPr>
        <w:t xml:space="preserve">. godinu. </w:t>
      </w:r>
      <w:r>
        <w:rPr>
          <w:color w:val="000000"/>
        </w:rPr>
        <w:t xml:space="preserve">U okviru skupine konta materijalnih rashoda najveći </w:t>
      </w:r>
      <w:r w:rsidR="008D2DCD">
        <w:rPr>
          <w:color w:val="000000"/>
        </w:rPr>
        <w:t xml:space="preserve">pad zabilježen je u okviru konta rashodi za materijal i energiju. </w:t>
      </w:r>
    </w:p>
    <w:p w:rsidR="008D2DCD" w:rsidRDefault="008D2DCD" w:rsidP="00EF6763">
      <w:pPr>
        <w:autoSpaceDE w:val="0"/>
        <w:autoSpaceDN w:val="0"/>
        <w:adjustRightInd w:val="0"/>
        <w:jc w:val="both"/>
        <w:rPr>
          <w:color w:val="000000"/>
        </w:rPr>
      </w:pPr>
    </w:p>
    <w:p w:rsidR="00235370" w:rsidRDefault="00235370" w:rsidP="00EF6763">
      <w:pPr>
        <w:autoSpaceDE w:val="0"/>
        <w:autoSpaceDN w:val="0"/>
        <w:adjustRightInd w:val="0"/>
        <w:jc w:val="both"/>
        <w:rPr>
          <w:color w:val="000000"/>
        </w:rPr>
      </w:pPr>
    </w:p>
    <w:p w:rsidR="008D2DCD" w:rsidRPr="008D2DCD" w:rsidRDefault="008D2DCD" w:rsidP="00EF6763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Navedena kategorija rashoda bilježi pad za 34,40 % u odnosu na prethodno izvještajno razdoblje. U navedenoj kategoriji najznačajnija odstupanja evidentirana su u okviru troškova električne energije i materijala za tekuće i investicijsko održavanje.</w:t>
      </w:r>
    </w:p>
    <w:p w:rsidR="00EF6763" w:rsidRDefault="00EF6763" w:rsidP="002B3DA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62158" w:rsidRDefault="00962158" w:rsidP="009621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466DD">
        <w:rPr>
          <w:rFonts w:eastAsiaTheme="minorHAnsi"/>
          <w:b/>
          <w:i/>
          <w:lang w:eastAsia="en-US"/>
        </w:rPr>
        <w:t>Bilješke uz AOP 1</w:t>
      </w:r>
      <w:r>
        <w:rPr>
          <w:rFonts w:eastAsiaTheme="minorHAnsi"/>
          <w:b/>
          <w:i/>
          <w:lang w:eastAsia="en-US"/>
        </w:rPr>
        <w:t xml:space="preserve">85: </w:t>
      </w:r>
      <w:r>
        <w:rPr>
          <w:rFonts w:eastAsiaTheme="minorHAnsi"/>
          <w:lang w:eastAsia="en-US"/>
        </w:rPr>
        <w:t>Ostali nespomenuti rashodi poslovanja</w:t>
      </w:r>
      <w:r w:rsidRPr="002B3DA5">
        <w:rPr>
          <w:rFonts w:eastAsiaTheme="minorHAnsi"/>
          <w:lang w:eastAsia="en-US"/>
        </w:rPr>
        <w:t xml:space="preserve"> u 201</w:t>
      </w:r>
      <w:r>
        <w:rPr>
          <w:rFonts w:eastAsiaTheme="minorHAnsi"/>
          <w:lang w:eastAsia="en-US"/>
        </w:rPr>
        <w:t>7</w:t>
      </w:r>
      <w:r w:rsidRPr="002B3DA5">
        <w:rPr>
          <w:rFonts w:eastAsiaTheme="minorHAnsi"/>
          <w:lang w:eastAsia="en-US"/>
        </w:rPr>
        <w:t xml:space="preserve">. godini porasli su za </w:t>
      </w:r>
      <w:r>
        <w:rPr>
          <w:rFonts w:eastAsiaTheme="minorHAnsi"/>
          <w:lang w:eastAsia="en-US"/>
        </w:rPr>
        <w:t>više od dva puta u odnosu na prethodno izvještajno razdoblje. Najveći porast bilježe naknade za rad predstavničkih i izvršnih tijela, povjerenstva i slično. Navedeni porast izdataka bilježe troškovi povjerenstvima i biračkim odborima za provedbu lokalnih izbora.</w:t>
      </w:r>
    </w:p>
    <w:p w:rsidR="00413E5C" w:rsidRDefault="00413E5C" w:rsidP="00962158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413E5C" w:rsidRDefault="00413E5C" w:rsidP="00962158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 w:rsidRPr="00F466DD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 xml:space="preserve">257: </w:t>
      </w:r>
      <w:r>
        <w:rPr>
          <w:rFonts w:eastAsiaTheme="minorHAnsi"/>
          <w:lang w:eastAsia="en-US"/>
        </w:rPr>
        <w:t>Ostali rashodi</w:t>
      </w:r>
      <w:r w:rsidRPr="002B3DA5">
        <w:rPr>
          <w:rFonts w:eastAsiaTheme="minorHAnsi"/>
          <w:lang w:eastAsia="en-US"/>
        </w:rPr>
        <w:t xml:space="preserve"> u 201</w:t>
      </w:r>
      <w:r>
        <w:rPr>
          <w:rFonts w:eastAsiaTheme="minorHAnsi"/>
          <w:lang w:eastAsia="en-US"/>
        </w:rPr>
        <w:t>7</w:t>
      </w:r>
      <w:r w:rsidRPr="002B3DA5">
        <w:rPr>
          <w:rFonts w:eastAsiaTheme="minorHAnsi"/>
          <w:lang w:eastAsia="en-US"/>
        </w:rPr>
        <w:t xml:space="preserve">. godini porasli su za </w:t>
      </w:r>
      <w:r>
        <w:rPr>
          <w:rFonts w:eastAsiaTheme="minorHAnsi"/>
          <w:lang w:eastAsia="en-US"/>
        </w:rPr>
        <w:t>43,60 % u odnosu na prethodno izvještajno razdoblje. Najveći porast bilježe naknade šteta pravnim i fizičkim osobama. Navedeni se rashod odnosi na isplatu šteta građanima za elementarnu nepogodu iz sredstava državnog proračuna.</w:t>
      </w:r>
    </w:p>
    <w:p w:rsidR="00962158" w:rsidRDefault="00962158" w:rsidP="002B3DA5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962158" w:rsidRDefault="00962158" w:rsidP="009621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466DD">
        <w:rPr>
          <w:rFonts w:eastAsiaTheme="minorHAnsi"/>
          <w:b/>
          <w:i/>
          <w:lang w:eastAsia="en-US"/>
        </w:rPr>
        <w:t xml:space="preserve">Bilješke uz AOP </w:t>
      </w:r>
      <w:r>
        <w:rPr>
          <w:rFonts w:eastAsiaTheme="minorHAnsi"/>
          <w:b/>
          <w:i/>
          <w:lang w:eastAsia="en-US"/>
        </w:rPr>
        <w:t xml:space="preserve">341: </w:t>
      </w:r>
      <w:r>
        <w:rPr>
          <w:rFonts w:eastAsiaTheme="minorHAnsi"/>
          <w:lang w:eastAsia="en-US"/>
        </w:rPr>
        <w:t>Rashodi za nabavu</w:t>
      </w:r>
      <w:r w:rsidR="00701B4E">
        <w:rPr>
          <w:rFonts w:eastAsiaTheme="minorHAnsi"/>
          <w:lang w:eastAsia="en-US"/>
        </w:rPr>
        <w:t xml:space="preserve"> nefinancijske imovine</w:t>
      </w:r>
      <w:r w:rsidRPr="002B3DA5">
        <w:rPr>
          <w:rFonts w:eastAsiaTheme="minorHAnsi"/>
          <w:lang w:eastAsia="en-US"/>
        </w:rPr>
        <w:t xml:space="preserve"> u 201</w:t>
      </w:r>
      <w:r>
        <w:rPr>
          <w:rFonts w:eastAsiaTheme="minorHAnsi"/>
          <w:lang w:eastAsia="en-US"/>
        </w:rPr>
        <w:t>7</w:t>
      </w:r>
      <w:r w:rsidRPr="002B3DA5">
        <w:rPr>
          <w:rFonts w:eastAsiaTheme="minorHAnsi"/>
          <w:lang w:eastAsia="en-US"/>
        </w:rPr>
        <w:t xml:space="preserve">. godini porasli su za </w:t>
      </w:r>
      <w:r w:rsidR="00413E5C">
        <w:rPr>
          <w:rFonts w:eastAsiaTheme="minorHAnsi"/>
          <w:lang w:eastAsia="en-US"/>
        </w:rPr>
        <w:t>više od dva puta</w:t>
      </w:r>
      <w:r>
        <w:rPr>
          <w:rFonts w:eastAsiaTheme="minorHAnsi"/>
          <w:lang w:eastAsia="en-US"/>
        </w:rPr>
        <w:t xml:space="preserve"> u odnosu na prethodno izvještajno razdoblje. Najveći porast </w:t>
      </w:r>
      <w:r w:rsidR="00701B4E">
        <w:rPr>
          <w:rFonts w:eastAsiaTheme="minorHAnsi"/>
          <w:lang w:eastAsia="en-US"/>
        </w:rPr>
        <w:t xml:space="preserve">bilježi kategorija </w:t>
      </w:r>
      <w:r w:rsidR="0061678E">
        <w:rPr>
          <w:rFonts w:eastAsiaTheme="minorHAnsi"/>
          <w:lang w:eastAsia="en-US"/>
        </w:rPr>
        <w:t>uređaji, strojevi i oprema za ostale namjene.</w:t>
      </w:r>
      <w:r w:rsidR="00701B4E">
        <w:rPr>
          <w:rFonts w:eastAsiaTheme="minorHAnsi"/>
          <w:lang w:eastAsia="en-US"/>
        </w:rPr>
        <w:t xml:space="preserve"> Navedena je kategorija u 2017. godini porasla </w:t>
      </w:r>
      <w:r w:rsidR="0012119A">
        <w:rPr>
          <w:rFonts w:eastAsiaTheme="minorHAnsi"/>
          <w:lang w:eastAsia="en-US"/>
        </w:rPr>
        <w:t xml:space="preserve">za </w:t>
      </w:r>
      <w:r w:rsidR="0061678E">
        <w:rPr>
          <w:rFonts w:eastAsiaTheme="minorHAnsi"/>
          <w:lang w:eastAsia="en-US"/>
        </w:rPr>
        <w:t>111.837</w:t>
      </w:r>
      <w:r w:rsidR="0012119A">
        <w:rPr>
          <w:rFonts w:eastAsiaTheme="minorHAnsi"/>
          <w:lang w:eastAsia="en-US"/>
        </w:rPr>
        <w:t xml:space="preserve"> kn u odnosu na 2016. godinu. Prvenstveno se navedeno odnosi na </w:t>
      </w:r>
      <w:r w:rsidR="0061678E">
        <w:rPr>
          <w:rFonts w:eastAsiaTheme="minorHAnsi"/>
          <w:lang w:eastAsia="en-US"/>
        </w:rPr>
        <w:t>nabavu kanti i kontejnera za papir.</w:t>
      </w:r>
    </w:p>
    <w:p w:rsidR="0012119A" w:rsidRDefault="0012119A" w:rsidP="00962158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12119A" w:rsidRPr="0012119A" w:rsidRDefault="0012119A" w:rsidP="0096215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119A">
        <w:rPr>
          <w:rFonts w:eastAsiaTheme="minorHAnsi"/>
          <w:lang w:eastAsia="en-US"/>
        </w:rPr>
        <w:t>U okviru kategorije ras</w:t>
      </w:r>
      <w:r>
        <w:rPr>
          <w:rFonts w:eastAsiaTheme="minorHAnsi"/>
          <w:lang w:eastAsia="en-US"/>
        </w:rPr>
        <w:t xml:space="preserve">hoda za nabavu nefinancijske imovine značajniji porast u odnosu na prethodno izvještajno razdoblje bilježi i </w:t>
      </w:r>
      <w:r w:rsidR="0061678E">
        <w:rPr>
          <w:rFonts w:eastAsiaTheme="minorHAnsi"/>
          <w:lang w:eastAsia="en-US"/>
        </w:rPr>
        <w:t>dodatna ulaganja na građevinskim objektima</w:t>
      </w:r>
      <w:r>
        <w:rPr>
          <w:rFonts w:eastAsiaTheme="minorHAnsi"/>
          <w:lang w:eastAsia="en-US"/>
        </w:rPr>
        <w:t xml:space="preserve">. U 2016. godini navedena je stavka realizirana u iznosu od </w:t>
      </w:r>
      <w:r w:rsidR="0061678E">
        <w:rPr>
          <w:rFonts w:eastAsiaTheme="minorHAnsi"/>
          <w:lang w:eastAsia="en-US"/>
        </w:rPr>
        <w:t>55.674</w:t>
      </w:r>
      <w:r>
        <w:rPr>
          <w:rFonts w:eastAsiaTheme="minorHAnsi"/>
          <w:lang w:eastAsia="en-US"/>
        </w:rPr>
        <w:t xml:space="preserve"> kn. U 2017. godini realizacija navedene stavke iznosi </w:t>
      </w:r>
      <w:r w:rsidR="0061678E">
        <w:rPr>
          <w:rFonts w:eastAsiaTheme="minorHAnsi"/>
          <w:lang w:eastAsia="en-US"/>
        </w:rPr>
        <w:t>423.327</w:t>
      </w:r>
      <w:r>
        <w:rPr>
          <w:rFonts w:eastAsiaTheme="minorHAnsi"/>
          <w:lang w:eastAsia="en-US"/>
        </w:rPr>
        <w:t xml:space="preserve"> kn. Navedeni izdatak se većim dijelom odnosi na </w:t>
      </w:r>
      <w:r w:rsidR="0061678E">
        <w:rPr>
          <w:rFonts w:eastAsiaTheme="minorHAnsi"/>
          <w:lang w:eastAsia="en-US"/>
        </w:rPr>
        <w:t>uređenje društvenog doma u prostorijama Općine.</w:t>
      </w:r>
    </w:p>
    <w:p w:rsidR="00235370" w:rsidRPr="00A17AD7" w:rsidRDefault="00235370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E39D3" w:rsidRPr="00127EE9" w:rsidRDefault="005E39D3" w:rsidP="005E39D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IV</w:t>
      </w:r>
      <w:r w:rsidRPr="00127EE9">
        <w:rPr>
          <w:rFonts w:eastAsiaTheme="minorHAnsi"/>
          <w:b/>
          <w:bCs/>
          <w:lang w:eastAsia="en-US"/>
        </w:rPr>
        <w:t xml:space="preserve">. BILJEŠKE UZ IZVJEŠTAJ </w:t>
      </w:r>
      <w:r>
        <w:rPr>
          <w:rFonts w:eastAsiaTheme="minorHAnsi"/>
          <w:b/>
          <w:bCs/>
          <w:lang w:eastAsia="en-US"/>
        </w:rPr>
        <w:t>RAS FUNKCIJSKI</w:t>
      </w:r>
    </w:p>
    <w:p w:rsidR="005E39D3" w:rsidRPr="00F313C6" w:rsidRDefault="005E39D3" w:rsidP="005E3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313C6">
        <w:rPr>
          <w:rFonts w:eastAsiaTheme="minorHAnsi"/>
          <w:lang w:eastAsia="en-US"/>
        </w:rPr>
        <w:t>Funkcijski se klasificiraju rashodi poslovanja i rashodi za nabavu nefinanc</w:t>
      </w:r>
      <w:r>
        <w:rPr>
          <w:rFonts w:eastAsiaTheme="minorHAnsi"/>
          <w:lang w:eastAsia="en-US"/>
        </w:rPr>
        <w:t xml:space="preserve">ijske imovine, dok se izdaci za </w:t>
      </w:r>
      <w:r w:rsidRPr="00F313C6">
        <w:rPr>
          <w:rFonts w:eastAsiaTheme="minorHAnsi"/>
          <w:lang w:eastAsia="en-US"/>
        </w:rPr>
        <w:t>financijsku imovinu i otplatu zajmova ne r</w:t>
      </w:r>
      <w:r>
        <w:rPr>
          <w:rFonts w:eastAsiaTheme="minorHAnsi"/>
          <w:lang w:eastAsia="en-US"/>
        </w:rPr>
        <w:t xml:space="preserve">azvrstavaju funkcijski te se ne </w:t>
      </w:r>
      <w:r w:rsidRPr="00F313C6">
        <w:rPr>
          <w:rFonts w:eastAsiaTheme="minorHAnsi"/>
          <w:lang w:eastAsia="en-US"/>
        </w:rPr>
        <w:t>uključuju u ovaj izvještaj.</w:t>
      </w:r>
    </w:p>
    <w:p w:rsidR="005E39D3" w:rsidRDefault="005E39D3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5E39D3" w:rsidRDefault="005E39D3" w:rsidP="005E3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E39D3">
        <w:rPr>
          <w:rFonts w:eastAsiaTheme="minorHAnsi"/>
          <w:lang w:eastAsia="en-US"/>
        </w:rPr>
        <w:t xml:space="preserve">Izvještaj o rashodima prema funkcijskoj klasifikaciji na AOP 137 odgovara iznosu na AOP </w:t>
      </w:r>
      <w:r>
        <w:rPr>
          <w:rFonts w:eastAsiaTheme="minorHAnsi"/>
          <w:lang w:eastAsia="en-US"/>
        </w:rPr>
        <w:t>40</w:t>
      </w:r>
      <w:r w:rsidR="00962158">
        <w:rPr>
          <w:rFonts w:eastAsiaTheme="minorHAnsi"/>
          <w:lang w:eastAsia="en-US"/>
        </w:rPr>
        <w:t>4</w:t>
      </w:r>
      <w:r w:rsidRPr="005E39D3">
        <w:rPr>
          <w:rFonts w:eastAsiaTheme="minorHAnsi"/>
          <w:lang w:eastAsia="en-US"/>
        </w:rPr>
        <w:t xml:space="preserve"> Ukupni</w:t>
      </w:r>
      <w:r>
        <w:rPr>
          <w:rFonts w:eastAsiaTheme="minorHAnsi"/>
          <w:lang w:eastAsia="en-US"/>
        </w:rPr>
        <w:t xml:space="preserve"> </w:t>
      </w:r>
      <w:r w:rsidRPr="005E39D3">
        <w:rPr>
          <w:rFonts w:eastAsiaTheme="minorHAnsi"/>
          <w:lang w:eastAsia="en-US"/>
        </w:rPr>
        <w:t xml:space="preserve">rashodi u Obrascu PR-RAS u iznosu od </w:t>
      </w:r>
      <w:r w:rsidR="00000350">
        <w:rPr>
          <w:rFonts w:eastAsiaTheme="minorHAnsi"/>
          <w:lang w:eastAsia="en-US"/>
        </w:rPr>
        <w:t>4.172.933</w:t>
      </w:r>
      <w:r w:rsidRPr="005E39D3">
        <w:rPr>
          <w:rFonts w:eastAsiaTheme="minorHAnsi"/>
          <w:lang w:eastAsia="en-US"/>
        </w:rPr>
        <w:t xml:space="preserve"> </w:t>
      </w:r>
      <w:r w:rsidR="00584B55">
        <w:rPr>
          <w:rFonts w:eastAsiaTheme="minorHAnsi"/>
          <w:lang w:eastAsia="en-US"/>
        </w:rPr>
        <w:t>kn</w:t>
      </w:r>
      <w:r>
        <w:rPr>
          <w:rFonts w:eastAsiaTheme="minorHAnsi"/>
          <w:lang w:eastAsia="en-US"/>
        </w:rPr>
        <w:t>.</w:t>
      </w:r>
    </w:p>
    <w:p w:rsidR="005E39D3" w:rsidRDefault="005E39D3" w:rsidP="005E3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Tablicareetke3-isticanje51"/>
        <w:tblW w:w="0" w:type="auto"/>
        <w:tblInd w:w="5" w:type="dxa"/>
        <w:tblLook w:val="04A0" w:firstRow="1" w:lastRow="0" w:firstColumn="1" w:lastColumn="0" w:noHBand="0" w:noVBand="1"/>
      </w:tblPr>
      <w:tblGrid>
        <w:gridCol w:w="1271"/>
        <w:gridCol w:w="4394"/>
        <w:gridCol w:w="1843"/>
        <w:gridCol w:w="1552"/>
      </w:tblGrid>
      <w:tr w:rsidR="005E39D3" w:rsidTr="00DC6B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:rsidR="005E39D3" w:rsidRDefault="00DC6BF7" w:rsidP="00DC6B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Funkcija</w:t>
            </w:r>
          </w:p>
        </w:tc>
        <w:tc>
          <w:tcPr>
            <w:tcW w:w="4394" w:type="dxa"/>
          </w:tcPr>
          <w:p w:rsidR="005E39D3" w:rsidRDefault="00DC6BF7" w:rsidP="00DC6BF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Opis</w:t>
            </w:r>
          </w:p>
        </w:tc>
        <w:tc>
          <w:tcPr>
            <w:tcW w:w="1843" w:type="dxa"/>
          </w:tcPr>
          <w:p w:rsidR="005E39D3" w:rsidRDefault="00DC6BF7" w:rsidP="00DC6BF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Ostvarenje</w:t>
            </w:r>
          </w:p>
        </w:tc>
        <w:tc>
          <w:tcPr>
            <w:tcW w:w="1552" w:type="dxa"/>
          </w:tcPr>
          <w:p w:rsidR="005E39D3" w:rsidRDefault="00DC6BF7" w:rsidP="00DC6BF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AOP oznaka</w:t>
            </w:r>
          </w:p>
        </w:tc>
      </w:tr>
      <w:tr w:rsidR="005E39D3" w:rsidTr="00E17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5E39D3" w:rsidRDefault="00DC6BF7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01</w:t>
            </w:r>
          </w:p>
        </w:tc>
        <w:tc>
          <w:tcPr>
            <w:tcW w:w="4394" w:type="dxa"/>
            <w:vAlign w:val="center"/>
          </w:tcPr>
          <w:p w:rsidR="005E39D3" w:rsidRDefault="00DC6BF7" w:rsidP="00E17C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Opće javne usluge</w:t>
            </w:r>
          </w:p>
        </w:tc>
        <w:tc>
          <w:tcPr>
            <w:tcW w:w="1843" w:type="dxa"/>
            <w:vAlign w:val="center"/>
          </w:tcPr>
          <w:p w:rsidR="005E39D3" w:rsidRDefault="00D82783" w:rsidP="00E17CE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3.054.006</w:t>
            </w:r>
          </w:p>
        </w:tc>
        <w:tc>
          <w:tcPr>
            <w:tcW w:w="1552" w:type="dxa"/>
            <w:vAlign w:val="center"/>
          </w:tcPr>
          <w:p w:rsidR="005E39D3" w:rsidRDefault="00E17CE4" w:rsidP="00E17C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001</w:t>
            </w:r>
          </w:p>
        </w:tc>
      </w:tr>
      <w:tr w:rsidR="00E17CE4" w:rsidTr="00E17CE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E17CE4" w:rsidRDefault="00E17CE4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04</w:t>
            </w:r>
          </w:p>
        </w:tc>
        <w:tc>
          <w:tcPr>
            <w:tcW w:w="4394" w:type="dxa"/>
            <w:vAlign w:val="center"/>
          </w:tcPr>
          <w:p w:rsidR="00E17CE4" w:rsidRDefault="00E17CE4" w:rsidP="00E17C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Ekonomski poslovi</w:t>
            </w:r>
          </w:p>
        </w:tc>
        <w:tc>
          <w:tcPr>
            <w:tcW w:w="1843" w:type="dxa"/>
            <w:vAlign w:val="center"/>
          </w:tcPr>
          <w:p w:rsidR="00E17CE4" w:rsidRDefault="00D82783" w:rsidP="00E17CE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376.052</w:t>
            </w:r>
          </w:p>
        </w:tc>
        <w:tc>
          <w:tcPr>
            <w:tcW w:w="1552" w:type="dxa"/>
            <w:vAlign w:val="center"/>
          </w:tcPr>
          <w:p w:rsidR="00E17CE4" w:rsidRDefault="00E17CE4" w:rsidP="00E17C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031</w:t>
            </w:r>
          </w:p>
        </w:tc>
      </w:tr>
      <w:tr w:rsidR="005E39D3" w:rsidTr="00E17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5E39D3" w:rsidRDefault="00DC6BF7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05</w:t>
            </w:r>
          </w:p>
        </w:tc>
        <w:tc>
          <w:tcPr>
            <w:tcW w:w="4394" w:type="dxa"/>
            <w:vAlign w:val="center"/>
          </w:tcPr>
          <w:p w:rsidR="005E39D3" w:rsidRDefault="00DC6BF7" w:rsidP="00E17C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Zaštita okoliša</w:t>
            </w:r>
          </w:p>
        </w:tc>
        <w:tc>
          <w:tcPr>
            <w:tcW w:w="1843" w:type="dxa"/>
            <w:vAlign w:val="center"/>
          </w:tcPr>
          <w:p w:rsidR="005E39D3" w:rsidRDefault="00D82783" w:rsidP="00E17CE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197.035</w:t>
            </w:r>
          </w:p>
        </w:tc>
        <w:tc>
          <w:tcPr>
            <w:tcW w:w="1552" w:type="dxa"/>
            <w:vAlign w:val="center"/>
          </w:tcPr>
          <w:p w:rsidR="005E39D3" w:rsidRDefault="001F2C93" w:rsidP="00E17C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071</w:t>
            </w:r>
          </w:p>
        </w:tc>
      </w:tr>
      <w:tr w:rsidR="00DC6BF7" w:rsidTr="00E17CE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06</w:t>
            </w:r>
          </w:p>
        </w:tc>
        <w:tc>
          <w:tcPr>
            <w:tcW w:w="4394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Usluge unapređenje stanovanja i zajednice</w:t>
            </w:r>
          </w:p>
        </w:tc>
        <w:tc>
          <w:tcPr>
            <w:tcW w:w="1843" w:type="dxa"/>
            <w:vAlign w:val="center"/>
          </w:tcPr>
          <w:p w:rsidR="00DC6BF7" w:rsidRDefault="00D82783" w:rsidP="00E17CE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65.606</w:t>
            </w:r>
          </w:p>
        </w:tc>
        <w:tc>
          <w:tcPr>
            <w:tcW w:w="1552" w:type="dxa"/>
            <w:vAlign w:val="center"/>
          </w:tcPr>
          <w:p w:rsidR="00DC6BF7" w:rsidRDefault="001F2C93" w:rsidP="00E17C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078</w:t>
            </w:r>
          </w:p>
        </w:tc>
      </w:tr>
      <w:tr w:rsidR="00D82783" w:rsidTr="00E17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82783" w:rsidRDefault="00D82783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</w:t>
            </w:r>
          </w:p>
        </w:tc>
        <w:tc>
          <w:tcPr>
            <w:tcW w:w="4394" w:type="dxa"/>
            <w:vAlign w:val="center"/>
          </w:tcPr>
          <w:p w:rsidR="00D82783" w:rsidRDefault="00D82783" w:rsidP="00E17C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Zdravstvo</w:t>
            </w:r>
          </w:p>
        </w:tc>
        <w:tc>
          <w:tcPr>
            <w:tcW w:w="1843" w:type="dxa"/>
            <w:vAlign w:val="center"/>
          </w:tcPr>
          <w:p w:rsidR="00D82783" w:rsidRDefault="00D82783" w:rsidP="00E17CE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19.065</w:t>
            </w:r>
          </w:p>
        </w:tc>
        <w:tc>
          <w:tcPr>
            <w:tcW w:w="1552" w:type="dxa"/>
            <w:vAlign w:val="center"/>
          </w:tcPr>
          <w:p w:rsidR="00D82783" w:rsidRDefault="00D82783" w:rsidP="00E17C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085</w:t>
            </w:r>
          </w:p>
        </w:tc>
      </w:tr>
      <w:tr w:rsidR="00DC6BF7" w:rsidTr="00E17CE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08</w:t>
            </w:r>
          </w:p>
        </w:tc>
        <w:tc>
          <w:tcPr>
            <w:tcW w:w="4394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Rekreacija, kultura, religija</w:t>
            </w:r>
          </w:p>
        </w:tc>
        <w:tc>
          <w:tcPr>
            <w:tcW w:w="1843" w:type="dxa"/>
            <w:vAlign w:val="center"/>
          </w:tcPr>
          <w:p w:rsidR="00DC6BF7" w:rsidRDefault="00D82783" w:rsidP="00E17CE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374.362</w:t>
            </w:r>
          </w:p>
        </w:tc>
        <w:tc>
          <w:tcPr>
            <w:tcW w:w="1552" w:type="dxa"/>
            <w:vAlign w:val="center"/>
          </w:tcPr>
          <w:p w:rsidR="00DC6BF7" w:rsidRDefault="001F2C93" w:rsidP="00E17C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103</w:t>
            </w:r>
          </w:p>
        </w:tc>
      </w:tr>
      <w:tr w:rsidR="00DC6BF7" w:rsidTr="00E17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09</w:t>
            </w:r>
          </w:p>
        </w:tc>
        <w:tc>
          <w:tcPr>
            <w:tcW w:w="4394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Obrazovanje</w:t>
            </w:r>
          </w:p>
        </w:tc>
        <w:tc>
          <w:tcPr>
            <w:tcW w:w="1843" w:type="dxa"/>
            <w:vAlign w:val="center"/>
          </w:tcPr>
          <w:p w:rsidR="00DC6BF7" w:rsidRDefault="00D82783" w:rsidP="00E17CE4">
            <w:pPr>
              <w:autoSpaceDE w:val="0"/>
              <w:autoSpaceDN w:val="0"/>
              <w:adjustRightInd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58.707</w:t>
            </w:r>
          </w:p>
        </w:tc>
        <w:tc>
          <w:tcPr>
            <w:tcW w:w="1552" w:type="dxa"/>
            <w:vAlign w:val="center"/>
          </w:tcPr>
          <w:p w:rsidR="00DC6BF7" w:rsidRDefault="001F2C93" w:rsidP="00E17CE4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110</w:t>
            </w:r>
          </w:p>
        </w:tc>
      </w:tr>
      <w:tr w:rsidR="00DC6BF7" w:rsidTr="00E17CE4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4394" w:type="dxa"/>
            <w:vAlign w:val="center"/>
          </w:tcPr>
          <w:p w:rsidR="00DC6BF7" w:rsidRDefault="00DC6BF7" w:rsidP="00E17CE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Socijalna zaštita</w:t>
            </w:r>
          </w:p>
        </w:tc>
        <w:tc>
          <w:tcPr>
            <w:tcW w:w="1843" w:type="dxa"/>
            <w:vAlign w:val="center"/>
          </w:tcPr>
          <w:p w:rsidR="00DC6BF7" w:rsidRDefault="00D82783" w:rsidP="00E17CE4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28.100</w:t>
            </w:r>
          </w:p>
        </w:tc>
        <w:tc>
          <w:tcPr>
            <w:tcW w:w="1552" w:type="dxa"/>
            <w:vAlign w:val="center"/>
          </w:tcPr>
          <w:p w:rsidR="00DC6BF7" w:rsidRDefault="001F2C93" w:rsidP="00E17CE4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125</w:t>
            </w:r>
          </w:p>
        </w:tc>
      </w:tr>
    </w:tbl>
    <w:p w:rsidR="00153B06" w:rsidRDefault="00153B06" w:rsidP="00207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35370" w:rsidRDefault="00235370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207ED6" w:rsidRPr="00207ED6" w:rsidRDefault="00207ED6" w:rsidP="00207ED6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207ED6">
        <w:rPr>
          <w:rFonts w:eastAsiaTheme="minorHAnsi"/>
          <w:b/>
          <w:bCs/>
          <w:lang w:eastAsia="en-US"/>
        </w:rPr>
        <w:t>V. BILJEŠKE UZ IZVJEŠTAJ O PROMJENAMA U VRIJEDNOSTI I OBUJMU IMOVINE I</w:t>
      </w:r>
      <w:r>
        <w:rPr>
          <w:rFonts w:eastAsiaTheme="minorHAnsi"/>
          <w:b/>
          <w:bCs/>
          <w:lang w:eastAsia="en-US"/>
        </w:rPr>
        <w:t xml:space="preserve"> </w:t>
      </w:r>
      <w:r w:rsidRPr="00207ED6">
        <w:rPr>
          <w:rFonts w:eastAsiaTheme="minorHAnsi"/>
          <w:b/>
          <w:bCs/>
          <w:lang w:eastAsia="en-US"/>
        </w:rPr>
        <w:t>OBVEZA (P-VRIO)</w:t>
      </w:r>
    </w:p>
    <w:p w:rsidR="00A17AD7" w:rsidRDefault="00A17AD7" w:rsidP="00207E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466DD" w:rsidRPr="00153B06" w:rsidRDefault="00F466DD" w:rsidP="00F466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3B06">
        <w:rPr>
          <w:rFonts w:eastAsiaTheme="minorHAnsi"/>
          <w:lang w:eastAsia="en-US"/>
        </w:rPr>
        <w:t>U izvještaju o promjenama u vrijednosti i obujmu imovine i obaveza iskazani su događaji koji utječu na neto vrijednost koji nisu direktna posljedica transakcija iskazanih u prihodima i rashodima.</w:t>
      </w:r>
    </w:p>
    <w:p w:rsidR="00050A00" w:rsidRPr="00153B06" w:rsidRDefault="00050A00" w:rsidP="00F466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53B06" w:rsidRPr="00242E1B" w:rsidRDefault="00207ED6" w:rsidP="00153B0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53B06">
        <w:rPr>
          <w:rFonts w:eastAsiaTheme="minorHAnsi"/>
          <w:lang w:eastAsia="en-US"/>
        </w:rPr>
        <w:t xml:space="preserve">Promjena u vrijednosti i obujmu imovine </w:t>
      </w:r>
      <w:r w:rsidR="008E1019" w:rsidRPr="00153B06">
        <w:rPr>
          <w:rFonts w:eastAsiaTheme="minorHAnsi"/>
          <w:lang w:eastAsia="en-US"/>
        </w:rPr>
        <w:t>tokom 201</w:t>
      </w:r>
      <w:r w:rsidR="00D319E3">
        <w:rPr>
          <w:rFonts w:eastAsiaTheme="minorHAnsi"/>
          <w:lang w:eastAsia="en-US"/>
        </w:rPr>
        <w:t>7</w:t>
      </w:r>
      <w:r w:rsidRPr="00153B06">
        <w:rPr>
          <w:rFonts w:eastAsiaTheme="minorHAnsi"/>
          <w:lang w:eastAsia="en-US"/>
        </w:rPr>
        <w:t xml:space="preserve">. godine </w:t>
      </w:r>
      <w:r w:rsidR="0028468E">
        <w:rPr>
          <w:rFonts w:eastAsiaTheme="minorHAnsi"/>
          <w:lang w:eastAsia="en-US"/>
        </w:rPr>
        <w:t>nisu zabilježene u poslovnim knjigama Općine.</w:t>
      </w:r>
    </w:p>
    <w:p w:rsidR="00127EE9" w:rsidRDefault="00127EE9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7EE9" w:rsidRDefault="00127EE9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93FD5" w:rsidRDefault="00993FD5" w:rsidP="00A17AD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27EE9" w:rsidRPr="00127EE9" w:rsidRDefault="00FA6824" w:rsidP="00127EE9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V</w:t>
      </w:r>
      <w:r w:rsidR="005E39D3">
        <w:rPr>
          <w:rFonts w:eastAsiaTheme="minorHAnsi"/>
          <w:b/>
          <w:bCs/>
          <w:lang w:eastAsia="en-US"/>
        </w:rPr>
        <w:t>I</w:t>
      </w:r>
      <w:r w:rsidR="00127EE9" w:rsidRPr="00127EE9">
        <w:rPr>
          <w:rFonts w:eastAsiaTheme="minorHAnsi"/>
          <w:b/>
          <w:bCs/>
          <w:lang w:eastAsia="en-US"/>
        </w:rPr>
        <w:t>. BILJEŠKE UZ IZVJEŠTAJ O OBVEZAMA</w:t>
      </w:r>
    </w:p>
    <w:p w:rsidR="00674AA1" w:rsidRDefault="00674AA1" w:rsidP="00674AA1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674AA1" w:rsidRDefault="00584B55" w:rsidP="00050A0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4B55">
        <w:rPr>
          <w:rFonts w:eastAsiaTheme="minorHAnsi"/>
          <w:b/>
          <w:bCs/>
          <w:i/>
          <w:lang w:eastAsia="en-US"/>
        </w:rPr>
        <w:t>Bilješke uz AOP 03</w:t>
      </w:r>
      <w:r w:rsidR="00433D67">
        <w:rPr>
          <w:rFonts w:eastAsiaTheme="minorHAnsi"/>
          <w:b/>
          <w:bCs/>
          <w:i/>
          <w:lang w:eastAsia="en-US"/>
        </w:rPr>
        <w:t xml:space="preserve">6: </w:t>
      </w:r>
      <w:r w:rsidR="00050A00" w:rsidRPr="00050A00">
        <w:rPr>
          <w:rFonts w:eastAsiaTheme="minorHAnsi"/>
          <w:lang w:eastAsia="en-US"/>
        </w:rPr>
        <w:t xml:space="preserve">stanje obveza na kraju izvještajnog razdoblja u iznosu od </w:t>
      </w:r>
      <w:r w:rsidR="00A309F8">
        <w:rPr>
          <w:rFonts w:eastAsiaTheme="minorHAnsi"/>
          <w:lang w:eastAsia="en-US"/>
        </w:rPr>
        <w:t>471.136</w:t>
      </w:r>
      <w:r>
        <w:rPr>
          <w:rFonts w:eastAsiaTheme="minorHAnsi"/>
          <w:lang w:eastAsia="en-US"/>
        </w:rPr>
        <w:t xml:space="preserve"> kn </w:t>
      </w:r>
      <w:r w:rsidR="00050A00" w:rsidRPr="00050A00">
        <w:rPr>
          <w:rFonts w:eastAsiaTheme="minorHAnsi"/>
          <w:lang w:eastAsia="en-US"/>
        </w:rPr>
        <w:t>odgovara iznosu</w:t>
      </w:r>
      <w:r>
        <w:rPr>
          <w:rFonts w:eastAsiaTheme="minorHAnsi"/>
          <w:lang w:eastAsia="en-US"/>
        </w:rPr>
        <w:t xml:space="preserve"> na AOP 163</w:t>
      </w:r>
      <w:r w:rsidR="008E1019">
        <w:rPr>
          <w:rFonts w:eastAsiaTheme="minorHAnsi"/>
          <w:lang w:eastAsia="en-US"/>
        </w:rPr>
        <w:t xml:space="preserve"> Obveze u Obrascu: Bilanca.</w:t>
      </w:r>
      <w:r>
        <w:rPr>
          <w:rFonts w:eastAsiaTheme="minorHAnsi"/>
          <w:lang w:eastAsia="en-US"/>
        </w:rPr>
        <w:t xml:space="preserve"> </w:t>
      </w:r>
    </w:p>
    <w:p w:rsidR="00674AA1" w:rsidRDefault="00674AA1" w:rsidP="00674AA1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</w:p>
    <w:p w:rsidR="00674AA1" w:rsidRPr="00584B55" w:rsidRDefault="00674AA1" w:rsidP="00674AA1">
      <w:pPr>
        <w:autoSpaceDE w:val="0"/>
        <w:autoSpaceDN w:val="0"/>
        <w:adjustRightInd w:val="0"/>
        <w:jc w:val="both"/>
        <w:rPr>
          <w:rFonts w:eastAsiaTheme="minorHAnsi"/>
          <w:b/>
          <w:i/>
          <w:lang w:eastAsia="en-US"/>
        </w:rPr>
      </w:pPr>
      <w:r>
        <w:rPr>
          <w:rFonts w:eastAsiaTheme="minorHAnsi"/>
          <w:b/>
          <w:i/>
          <w:lang w:eastAsia="en-US"/>
        </w:rPr>
        <w:t>Bilješka uz AOP 0</w:t>
      </w:r>
      <w:r w:rsidR="00433D67">
        <w:rPr>
          <w:rFonts w:eastAsiaTheme="minorHAnsi"/>
          <w:b/>
          <w:i/>
          <w:lang w:eastAsia="en-US"/>
        </w:rPr>
        <w:t xml:space="preserve">37 i 090: </w:t>
      </w:r>
      <w:r w:rsidR="00584B55">
        <w:rPr>
          <w:rFonts w:eastAsiaTheme="minorHAnsi"/>
          <w:b/>
          <w:i/>
          <w:lang w:eastAsia="en-US"/>
        </w:rPr>
        <w:t>s</w:t>
      </w:r>
      <w:r w:rsidR="00127EE9" w:rsidRPr="00127EE9">
        <w:rPr>
          <w:rFonts w:eastAsiaTheme="minorHAnsi"/>
          <w:lang w:eastAsia="en-US"/>
        </w:rPr>
        <w:t>tanje dospjelih obveza na dan 31.</w:t>
      </w:r>
      <w:r w:rsidR="008E1019">
        <w:rPr>
          <w:rFonts w:eastAsiaTheme="minorHAnsi"/>
          <w:lang w:eastAsia="en-US"/>
        </w:rPr>
        <w:t xml:space="preserve"> prosinca 201</w:t>
      </w:r>
      <w:r w:rsidR="00433D67">
        <w:rPr>
          <w:rFonts w:eastAsiaTheme="minorHAnsi"/>
          <w:lang w:eastAsia="en-US"/>
        </w:rPr>
        <w:t>7</w:t>
      </w:r>
      <w:r w:rsidR="008E1019">
        <w:rPr>
          <w:rFonts w:eastAsiaTheme="minorHAnsi"/>
          <w:lang w:eastAsia="en-US"/>
        </w:rPr>
        <w:t xml:space="preserve">. godine iznosi </w:t>
      </w:r>
      <w:r w:rsidR="00A309F8">
        <w:rPr>
          <w:rFonts w:eastAsiaTheme="minorHAnsi"/>
          <w:lang w:eastAsia="en-US"/>
        </w:rPr>
        <w:t>377.122</w:t>
      </w:r>
      <w:r w:rsidR="00CC557E">
        <w:rPr>
          <w:rFonts w:eastAsiaTheme="minorHAnsi"/>
          <w:lang w:eastAsia="en-US"/>
        </w:rPr>
        <w:t xml:space="preserve"> kn, dok je </w:t>
      </w:r>
      <w:r w:rsidR="008E1019">
        <w:rPr>
          <w:rFonts w:eastAsiaTheme="minorHAnsi"/>
          <w:lang w:eastAsia="en-US"/>
        </w:rPr>
        <w:t xml:space="preserve">stanje nedospjelih obveza </w:t>
      </w:r>
      <w:r w:rsidR="00A309F8">
        <w:rPr>
          <w:rFonts w:eastAsiaTheme="minorHAnsi"/>
          <w:lang w:eastAsia="en-US"/>
        </w:rPr>
        <w:t>94.014</w:t>
      </w:r>
      <w:r w:rsidR="00CC557E">
        <w:rPr>
          <w:rFonts w:eastAsiaTheme="minorHAnsi"/>
          <w:lang w:eastAsia="en-US"/>
        </w:rPr>
        <w:t xml:space="preserve"> kn.</w:t>
      </w:r>
      <w:r w:rsidR="00127EE9" w:rsidRPr="00127EE9">
        <w:rPr>
          <w:rFonts w:eastAsiaTheme="minorHAnsi"/>
          <w:lang w:eastAsia="en-US"/>
        </w:rPr>
        <w:t xml:space="preserve"> </w:t>
      </w:r>
    </w:p>
    <w:p w:rsidR="00993FD5" w:rsidRPr="00153B06" w:rsidRDefault="00993FD5" w:rsidP="00674AA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309F8" w:rsidRDefault="00A309F8" w:rsidP="00A309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Iznos od 94.014 kn odnosi se na nedospjele obveze po osnovi rashoda za zaposlene i materijalnih rashoda poslovanja, preostali iznos od 377.122 kn odnosi se na dospjele obveze koje će se podmiriti u narednih 60 dana.</w:t>
      </w:r>
    </w:p>
    <w:p w:rsidR="00BC3AD7" w:rsidRPr="00BC3AD7" w:rsidRDefault="00BC3AD7" w:rsidP="00BC3AD7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313C6" w:rsidRDefault="00A309F8" w:rsidP="00F313C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Najveći dio dospjelih obveza i to u iznosu od 230.561 kn odnosi se na obveze prema građanima za isplatu elementarnih nepogoda financiranih iz državnog proračuna.</w:t>
      </w:r>
    </w:p>
    <w:p w:rsidR="00F313C6" w:rsidRDefault="00F313C6" w:rsidP="00F313C6">
      <w:pPr>
        <w:pStyle w:val="ListParagraph"/>
        <w:autoSpaceDE w:val="0"/>
        <w:autoSpaceDN w:val="0"/>
        <w:adjustRightInd w:val="0"/>
        <w:ind w:left="0"/>
        <w:jc w:val="both"/>
        <w:rPr>
          <w:rFonts w:eastAsiaTheme="minorHAnsi"/>
          <w:lang w:eastAsia="en-US"/>
        </w:rPr>
      </w:pPr>
    </w:p>
    <w:p w:rsidR="00F466DD" w:rsidRDefault="00F466DD" w:rsidP="00F466D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F466DD" w:rsidRDefault="00F466DD" w:rsidP="00F466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8126A" w:rsidRPr="00433D67" w:rsidRDefault="00A8126A" w:rsidP="00A8126A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</w:p>
    <w:p w:rsidR="00A8126A" w:rsidRPr="00433D67" w:rsidRDefault="00A8126A" w:rsidP="00A8126A">
      <w:pPr>
        <w:autoSpaceDE w:val="0"/>
        <w:autoSpaceDN w:val="0"/>
        <w:adjustRightInd w:val="0"/>
        <w:jc w:val="right"/>
        <w:rPr>
          <w:rFonts w:eastAsiaTheme="minorHAnsi"/>
          <w:b/>
          <w:color w:val="FF0000"/>
          <w:lang w:eastAsia="en-US"/>
        </w:rPr>
      </w:pPr>
      <w:r w:rsidRPr="00433D67">
        <w:rPr>
          <w:rFonts w:eastAsiaTheme="minorHAnsi"/>
          <w:b/>
          <w:color w:val="FF0000"/>
          <w:lang w:eastAsia="en-US"/>
        </w:rPr>
        <w:t>Općinski načelnik:</w:t>
      </w:r>
    </w:p>
    <w:p w:rsidR="00A8126A" w:rsidRPr="00433D67" w:rsidRDefault="00A8126A" w:rsidP="00A8126A">
      <w:pPr>
        <w:autoSpaceDE w:val="0"/>
        <w:autoSpaceDN w:val="0"/>
        <w:adjustRightInd w:val="0"/>
        <w:jc w:val="right"/>
        <w:rPr>
          <w:rFonts w:eastAsiaTheme="minorHAnsi"/>
          <w:color w:val="FF0000"/>
          <w:lang w:eastAsia="en-US"/>
        </w:rPr>
      </w:pPr>
    </w:p>
    <w:p w:rsidR="00A8126A" w:rsidRPr="00433D67" w:rsidRDefault="00A8126A" w:rsidP="00A8126A">
      <w:pPr>
        <w:autoSpaceDE w:val="0"/>
        <w:autoSpaceDN w:val="0"/>
        <w:adjustRightInd w:val="0"/>
        <w:jc w:val="right"/>
        <w:rPr>
          <w:rFonts w:eastAsiaTheme="minorHAnsi"/>
          <w:color w:val="FF0000"/>
          <w:lang w:eastAsia="en-US"/>
        </w:rPr>
      </w:pPr>
    </w:p>
    <w:sectPr w:rsidR="00A8126A" w:rsidRPr="00433D67" w:rsidSect="0056643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DB" w:rsidRDefault="00C613DB" w:rsidP="00F313C6">
      <w:r>
        <w:separator/>
      </w:r>
    </w:p>
  </w:endnote>
  <w:endnote w:type="continuationSeparator" w:id="0">
    <w:p w:rsidR="00C613DB" w:rsidRDefault="00C613DB" w:rsidP="00F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DB" w:rsidRDefault="00C613DB" w:rsidP="00F313C6">
      <w:r>
        <w:separator/>
      </w:r>
    </w:p>
  </w:footnote>
  <w:footnote w:type="continuationSeparator" w:id="0">
    <w:p w:rsidR="00C613DB" w:rsidRDefault="00C613DB" w:rsidP="00F31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background1" w:themeShade="7F"/>
        <w:spacing w:val="60"/>
      </w:rPr>
      <w:id w:val="-138293558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:rsidR="00725DC7" w:rsidRDefault="00725DC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Stranica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35AA" w:rsidRPr="006A35AA">
          <w:rPr>
            <w:b/>
            <w:bCs/>
            <w:noProof/>
          </w:rPr>
          <w:t>11</w:t>
        </w:r>
        <w:r>
          <w:rPr>
            <w:b/>
            <w:bCs/>
          </w:rPr>
          <w:fldChar w:fldCharType="end"/>
        </w:r>
      </w:p>
    </w:sdtContent>
  </w:sdt>
  <w:p w:rsidR="00725DC7" w:rsidRDefault="00725D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C61"/>
    <w:multiLevelType w:val="hybridMultilevel"/>
    <w:tmpl w:val="87C62E2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727D8"/>
    <w:multiLevelType w:val="hybridMultilevel"/>
    <w:tmpl w:val="7DE0836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865A3"/>
    <w:multiLevelType w:val="hybridMultilevel"/>
    <w:tmpl w:val="C87AAC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07BDA"/>
    <w:multiLevelType w:val="hybridMultilevel"/>
    <w:tmpl w:val="617EA3B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63D0F"/>
    <w:multiLevelType w:val="hybridMultilevel"/>
    <w:tmpl w:val="ED0A53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84FD3"/>
    <w:multiLevelType w:val="hybridMultilevel"/>
    <w:tmpl w:val="390006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96A0A"/>
    <w:multiLevelType w:val="hybridMultilevel"/>
    <w:tmpl w:val="1C649E0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F3826BE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FA6189"/>
    <w:multiLevelType w:val="hybridMultilevel"/>
    <w:tmpl w:val="FB50D15E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F26B1"/>
    <w:multiLevelType w:val="hybridMultilevel"/>
    <w:tmpl w:val="71D6B094"/>
    <w:lvl w:ilvl="0" w:tplc="A47A74F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421F5"/>
    <w:multiLevelType w:val="hybridMultilevel"/>
    <w:tmpl w:val="F482EB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045188"/>
    <w:multiLevelType w:val="hybridMultilevel"/>
    <w:tmpl w:val="1686878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80"/>
    <w:rsid w:val="00000350"/>
    <w:rsid w:val="00001385"/>
    <w:rsid w:val="00020B8B"/>
    <w:rsid w:val="0002652E"/>
    <w:rsid w:val="00033470"/>
    <w:rsid w:val="00050A00"/>
    <w:rsid w:val="00094466"/>
    <w:rsid w:val="00094DE0"/>
    <w:rsid w:val="00101E21"/>
    <w:rsid w:val="0010565B"/>
    <w:rsid w:val="0012119A"/>
    <w:rsid w:val="00127EE9"/>
    <w:rsid w:val="00153B06"/>
    <w:rsid w:val="001752F1"/>
    <w:rsid w:val="001A3B75"/>
    <w:rsid w:val="001A4BCD"/>
    <w:rsid w:val="001B27FB"/>
    <w:rsid w:val="001C6B46"/>
    <w:rsid w:val="001E0E03"/>
    <w:rsid w:val="001F2C93"/>
    <w:rsid w:val="001F79A2"/>
    <w:rsid w:val="00207ED6"/>
    <w:rsid w:val="00235370"/>
    <w:rsid w:val="00240366"/>
    <w:rsid w:val="0026487E"/>
    <w:rsid w:val="0028468E"/>
    <w:rsid w:val="002A7BE6"/>
    <w:rsid w:val="002B3DA5"/>
    <w:rsid w:val="002C1F02"/>
    <w:rsid w:val="002C3179"/>
    <w:rsid w:val="002F6A77"/>
    <w:rsid w:val="00310348"/>
    <w:rsid w:val="00331CFE"/>
    <w:rsid w:val="003733F3"/>
    <w:rsid w:val="003838D7"/>
    <w:rsid w:val="0039076E"/>
    <w:rsid w:val="003B741E"/>
    <w:rsid w:val="00402AEC"/>
    <w:rsid w:val="00413E5C"/>
    <w:rsid w:val="0043115C"/>
    <w:rsid w:val="00432CAB"/>
    <w:rsid w:val="00433D67"/>
    <w:rsid w:val="00444ABA"/>
    <w:rsid w:val="004478C5"/>
    <w:rsid w:val="00461CD4"/>
    <w:rsid w:val="00462A4E"/>
    <w:rsid w:val="004A10E4"/>
    <w:rsid w:val="004B488E"/>
    <w:rsid w:val="004F39FC"/>
    <w:rsid w:val="0050406E"/>
    <w:rsid w:val="00516B22"/>
    <w:rsid w:val="00522EF5"/>
    <w:rsid w:val="0054110B"/>
    <w:rsid w:val="0055178F"/>
    <w:rsid w:val="005554BA"/>
    <w:rsid w:val="00566431"/>
    <w:rsid w:val="00584B55"/>
    <w:rsid w:val="005A204F"/>
    <w:rsid w:val="005A5580"/>
    <w:rsid w:val="005C4D64"/>
    <w:rsid w:val="005E0C28"/>
    <w:rsid w:val="005E333C"/>
    <w:rsid w:val="005E39D3"/>
    <w:rsid w:val="005F1BFE"/>
    <w:rsid w:val="005F399E"/>
    <w:rsid w:val="00607231"/>
    <w:rsid w:val="006153AE"/>
    <w:rsid w:val="0061678E"/>
    <w:rsid w:val="006376F6"/>
    <w:rsid w:val="00674AA1"/>
    <w:rsid w:val="006A35AA"/>
    <w:rsid w:val="006C104F"/>
    <w:rsid w:val="006D4EC4"/>
    <w:rsid w:val="00701B4E"/>
    <w:rsid w:val="00725DC7"/>
    <w:rsid w:val="00763004"/>
    <w:rsid w:val="00765EC6"/>
    <w:rsid w:val="0077201A"/>
    <w:rsid w:val="00772F8E"/>
    <w:rsid w:val="00792180"/>
    <w:rsid w:val="007A0C16"/>
    <w:rsid w:val="007A7BA7"/>
    <w:rsid w:val="007B34FE"/>
    <w:rsid w:val="007F3D25"/>
    <w:rsid w:val="007F79B3"/>
    <w:rsid w:val="008318B3"/>
    <w:rsid w:val="00861F62"/>
    <w:rsid w:val="0088590A"/>
    <w:rsid w:val="0089003B"/>
    <w:rsid w:val="008953C6"/>
    <w:rsid w:val="008A6DEC"/>
    <w:rsid w:val="008D1D63"/>
    <w:rsid w:val="008D2DCD"/>
    <w:rsid w:val="008E1019"/>
    <w:rsid w:val="008E7FF8"/>
    <w:rsid w:val="008F4CF1"/>
    <w:rsid w:val="00962158"/>
    <w:rsid w:val="00966C16"/>
    <w:rsid w:val="00971460"/>
    <w:rsid w:val="00975460"/>
    <w:rsid w:val="00993FD5"/>
    <w:rsid w:val="009B5901"/>
    <w:rsid w:val="009B7676"/>
    <w:rsid w:val="009B7D05"/>
    <w:rsid w:val="009C2829"/>
    <w:rsid w:val="009F415A"/>
    <w:rsid w:val="00A02CA4"/>
    <w:rsid w:val="00A17AD7"/>
    <w:rsid w:val="00A309F8"/>
    <w:rsid w:val="00A45F81"/>
    <w:rsid w:val="00A77430"/>
    <w:rsid w:val="00A8126A"/>
    <w:rsid w:val="00AA6857"/>
    <w:rsid w:val="00AB3405"/>
    <w:rsid w:val="00AC52EE"/>
    <w:rsid w:val="00AD1AD6"/>
    <w:rsid w:val="00AF05B0"/>
    <w:rsid w:val="00AF497D"/>
    <w:rsid w:val="00B013D0"/>
    <w:rsid w:val="00B0629F"/>
    <w:rsid w:val="00B0693A"/>
    <w:rsid w:val="00B31D22"/>
    <w:rsid w:val="00B450AD"/>
    <w:rsid w:val="00B63309"/>
    <w:rsid w:val="00B7401B"/>
    <w:rsid w:val="00B75721"/>
    <w:rsid w:val="00B803A7"/>
    <w:rsid w:val="00B80B7A"/>
    <w:rsid w:val="00BA2647"/>
    <w:rsid w:val="00BA78A1"/>
    <w:rsid w:val="00BC2EE5"/>
    <w:rsid w:val="00BC3AD7"/>
    <w:rsid w:val="00BC615A"/>
    <w:rsid w:val="00BD4A64"/>
    <w:rsid w:val="00C1257F"/>
    <w:rsid w:val="00C13A53"/>
    <w:rsid w:val="00C16C77"/>
    <w:rsid w:val="00C37FF2"/>
    <w:rsid w:val="00C551A0"/>
    <w:rsid w:val="00C613DB"/>
    <w:rsid w:val="00C85698"/>
    <w:rsid w:val="00C866B1"/>
    <w:rsid w:val="00C93A6D"/>
    <w:rsid w:val="00C95A23"/>
    <w:rsid w:val="00CA460E"/>
    <w:rsid w:val="00CB503A"/>
    <w:rsid w:val="00CC557E"/>
    <w:rsid w:val="00CF3F4F"/>
    <w:rsid w:val="00D02067"/>
    <w:rsid w:val="00D1782A"/>
    <w:rsid w:val="00D319E3"/>
    <w:rsid w:val="00D42A6C"/>
    <w:rsid w:val="00D543BC"/>
    <w:rsid w:val="00D71B5B"/>
    <w:rsid w:val="00D82783"/>
    <w:rsid w:val="00D84AB4"/>
    <w:rsid w:val="00D857FC"/>
    <w:rsid w:val="00D9096D"/>
    <w:rsid w:val="00DB6CA1"/>
    <w:rsid w:val="00DC6BF7"/>
    <w:rsid w:val="00DD07CB"/>
    <w:rsid w:val="00DD1B5B"/>
    <w:rsid w:val="00DD2871"/>
    <w:rsid w:val="00DE2711"/>
    <w:rsid w:val="00DE5CE5"/>
    <w:rsid w:val="00E124A7"/>
    <w:rsid w:val="00E12738"/>
    <w:rsid w:val="00E17CE4"/>
    <w:rsid w:val="00E41B87"/>
    <w:rsid w:val="00E4437F"/>
    <w:rsid w:val="00E55E4F"/>
    <w:rsid w:val="00E6736E"/>
    <w:rsid w:val="00E70339"/>
    <w:rsid w:val="00E9027E"/>
    <w:rsid w:val="00E93EB2"/>
    <w:rsid w:val="00EA7CF5"/>
    <w:rsid w:val="00EB4B06"/>
    <w:rsid w:val="00EC5032"/>
    <w:rsid w:val="00ED0764"/>
    <w:rsid w:val="00ED2BEA"/>
    <w:rsid w:val="00EE0718"/>
    <w:rsid w:val="00EE2D56"/>
    <w:rsid w:val="00EF6763"/>
    <w:rsid w:val="00F16F24"/>
    <w:rsid w:val="00F313C6"/>
    <w:rsid w:val="00F435C2"/>
    <w:rsid w:val="00F46073"/>
    <w:rsid w:val="00F466DD"/>
    <w:rsid w:val="00F72764"/>
    <w:rsid w:val="00F75347"/>
    <w:rsid w:val="00F80503"/>
    <w:rsid w:val="00F8689D"/>
    <w:rsid w:val="00FA6824"/>
    <w:rsid w:val="00FE3E90"/>
    <w:rsid w:val="00FF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767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D42A6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TableNormal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fontstyle01">
    <w:name w:val="fontstyle01"/>
    <w:basedOn w:val="DefaultParagraphFont"/>
    <w:rsid w:val="00FF0E71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-9-8">
    <w:name w:val="t-9-8"/>
    <w:basedOn w:val="Normal"/>
    <w:rsid w:val="009F415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E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B767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9B76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ormalWeb">
    <w:name w:val="Normal (Web)"/>
    <w:basedOn w:val="Normal"/>
    <w:unhideWhenUsed/>
    <w:rsid w:val="009B767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A45F81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42A6C"/>
    <w:pPr>
      <w:jc w:val="both"/>
    </w:pPr>
    <w:rPr>
      <w:rFonts w:ascii="Arial" w:hAnsi="Arial" w:cs="Arial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D42A6C"/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313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3C6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5E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icareetke3-isticanje51">
    <w:name w:val="Tablica rešetke 3 - isticanje 51"/>
    <w:basedOn w:val="TableNormal"/>
    <w:uiPriority w:val="48"/>
    <w:rsid w:val="00DC6BF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character" w:customStyle="1" w:styleId="fontstyle01">
    <w:name w:val="fontstyle01"/>
    <w:basedOn w:val="DefaultParagraphFont"/>
    <w:rsid w:val="00FF0E71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t-9-8">
    <w:name w:val="t-9-8"/>
    <w:basedOn w:val="Normal"/>
    <w:rsid w:val="009F415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DE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0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E878D-E632-4240-B6D8-7C06A5EF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2733</Words>
  <Characters>15584</Characters>
  <Application>Microsoft Office Word</Application>
  <DocSecurity>0</DocSecurity>
  <Lines>129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Dorjana Šorgo Musulin</dc:creator>
  <cp:lastModifiedBy>Branka</cp:lastModifiedBy>
  <cp:revision>4</cp:revision>
  <cp:lastPrinted>2018-02-19T09:15:00Z</cp:lastPrinted>
  <dcterms:created xsi:type="dcterms:W3CDTF">2018-02-19T09:09:00Z</dcterms:created>
  <dcterms:modified xsi:type="dcterms:W3CDTF">2018-02-19T09:17:00Z</dcterms:modified>
</cp:coreProperties>
</file>